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16bis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513927</w:t>
      </w:r>
    </w:p>
    <w:p>
      <w:pPr>
        <w:pStyle w:val="15"/>
        <w:keepNext/>
        <w:keepLines/>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Prague, CZ, 13th-17th Oct., 2025</w:t>
      </w:r>
    </w:p>
    <w:p>
      <w:pPr>
        <w:pStyle w:val="15"/>
        <w:keepNext/>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RF requirements for HPUE</w:t>
      </w:r>
    </w:p>
    <w:p>
      <w:pPr>
        <w:pStyle w:val="15"/>
        <w:keepNext/>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7.1.4</w:t>
      </w:r>
    </w:p>
    <w:p>
      <w:pPr>
        <w:pStyle w:val="15"/>
        <w:keepNext/>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keepLines/>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In last RAN plenary meeting, a new WID on </w:t>
      </w:r>
      <w:r>
        <w:rPr>
          <w:lang w:eastAsia="zh-CN"/>
        </w:rPr>
        <w:t xml:space="preserve">UE RF requirement enhancements for the deployment in NR </w:t>
      </w:r>
      <w:r>
        <w:rPr>
          <w:rFonts w:hint="eastAsia"/>
          <w:lang w:val="en-US" w:eastAsia="zh-CN"/>
        </w:rPr>
        <w:t>FR1 was approved</w:t>
      </w:r>
      <w:r>
        <w:rPr>
          <w:rFonts w:hint="eastAsia"/>
          <w:bCs/>
          <w:i w:val="0"/>
          <w:iCs w:val="0"/>
          <w:kern w:val="0"/>
          <w:sz w:val="20"/>
          <w:szCs w:val="20"/>
          <w:highlight w:val="none"/>
          <w:lang w:val="en-US" w:eastAsia="zh-CN"/>
        </w:rPr>
        <w:t xml:space="preserve"> [1]. The objective for HPUE of this WID is: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keepLines/>
              <w:pageBreakBefore w:val="0"/>
              <w:kinsoku/>
              <w:wordWrap/>
              <w:overflowPunct/>
              <w:topLinePunct w:val="0"/>
              <w:autoSpaceDE/>
              <w:autoSpaceDN/>
              <w:bidi w:val="0"/>
              <w:adjustRightInd/>
              <w:snapToGrid w:val="0"/>
              <w:spacing w:after="60" w:line="240" w:lineRule="auto"/>
              <w:jc w:val="both"/>
              <w:textAlignment w:val="auto"/>
              <w:rPr>
                <w:lang w:eastAsia="zh-CN"/>
              </w:rPr>
            </w:pPr>
            <w:r>
              <w:rPr>
                <w:b/>
              </w:rPr>
              <w:t>High power UE (HPUE) for NR single carrier operation</w:t>
            </w:r>
          </w:p>
          <w:p>
            <w:pPr>
              <w:pStyle w:val="31"/>
              <w:keepNext/>
              <w:keepLines/>
              <w:pageBreakBefore w:val="0"/>
              <w:numPr>
                <w:ilvl w:val="0"/>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hint="eastAsia" w:ascii="Times New Roman" w:hAnsi="Times New Roman"/>
                <w:sz w:val="20"/>
                <w:szCs w:val="20"/>
              </w:rPr>
              <w:t>Specify the UE RF requirements for single carrier TDD to support 4Tx for CPE/FWA UE with 4x26dBm PA configurations</w:t>
            </w:r>
          </w:p>
          <w:p>
            <w:pPr>
              <w:pStyle w:val="31"/>
              <w:keepNext/>
              <w:keepLines/>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 xml:space="preserve">Co-existence study </w:t>
            </w:r>
            <w:r>
              <w:rPr>
                <w:rFonts w:hint="eastAsia" w:ascii="Times New Roman" w:hAnsi="Times New Roman" w:eastAsia="等线"/>
                <w:sz w:val="20"/>
                <w:szCs w:val="20"/>
              </w:rPr>
              <w:t>for ACLR, specify ACLR requirements if needed</w:t>
            </w:r>
          </w:p>
          <w:p>
            <w:pPr>
              <w:pStyle w:val="31"/>
              <w:keepNext/>
              <w:keepLines/>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Specify the UE RF requirements including maximum output power (MOP), MPR requirements, etc.</w:t>
            </w:r>
          </w:p>
          <w:p>
            <w:pPr>
              <w:pStyle w:val="31"/>
              <w:keepNext/>
              <w:keepLines/>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Supporting 4x4 UL MIMO and TxD</w:t>
            </w:r>
          </w:p>
          <w:p>
            <w:pPr>
              <w:pStyle w:val="31"/>
              <w:keepNext/>
              <w:keepLines/>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Specify the band specific requirements for exemplary bands</w:t>
            </w:r>
          </w:p>
          <w:p>
            <w:pPr>
              <w:pStyle w:val="31"/>
              <w:keepNext/>
              <w:keepLines/>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hint="eastAsia" w:ascii="Times New Roman" w:hAnsi="Times New Roman"/>
                <w:sz w:val="20"/>
                <w:szCs w:val="20"/>
              </w:rPr>
              <w:t>E</w:t>
            </w:r>
            <w:r>
              <w:rPr>
                <w:rFonts w:ascii="Times New Roman" w:hAnsi="Times New Roman"/>
                <w:sz w:val="20"/>
                <w:szCs w:val="20"/>
              </w:rPr>
              <w:t>xample bands: n41, n77/n78, n79, n104</w:t>
            </w:r>
          </w:p>
          <w:p>
            <w:pPr>
              <w:pStyle w:val="31"/>
              <w:keepNext/>
              <w:keepLines/>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eastAsia="等线"/>
                <w:sz w:val="20"/>
                <w:szCs w:val="20"/>
              </w:rPr>
              <w:t>Maximum output power is up to 32 dBm</w:t>
            </w:r>
          </w:p>
          <w:p>
            <w:pPr>
              <w:pStyle w:val="31"/>
              <w:keepNext/>
              <w:keepLines/>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RAN4 to determine whether to reuse PC1 or introduce new power class</w:t>
            </w:r>
          </w:p>
          <w:p>
            <w:pPr>
              <w:keepNext/>
              <w:keepLines/>
              <w:pageBreakBefore w:val="0"/>
              <w:kinsoku/>
              <w:wordWrap/>
              <w:overflowPunct/>
              <w:topLinePunct w:val="0"/>
              <w:autoSpaceDE/>
              <w:autoSpaceDN/>
              <w:bidi w:val="0"/>
              <w:adjustRightInd/>
              <w:snapToGrid w:val="0"/>
              <w:spacing w:after="60" w:line="240" w:lineRule="auto"/>
              <w:textAlignment w:val="auto"/>
            </w:pPr>
          </w:p>
          <w:p>
            <w:pPr>
              <w:pStyle w:val="31"/>
              <w:keepNext/>
              <w:keepLines/>
              <w:pageBreakBefore w:val="0"/>
              <w:numPr>
                <w:ilvl w:val="0"/>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PC1.5 with 2Tx for FDD bands for handheld and FWA UE</w:t>
            </w:r>
          </w:p>
          <w:p>
            <w:pPr>
              <w:pStyle w:val="31"/>
              <w:keepNext/>
              <w:keepLines/>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Specify the UE RF requirements including maximum output power (MOP), MPR requirements, etc.</w:t>
            </w:r>
          </w:p>
          <w:p>
            <w:pPr>
              <w:pStyle w:val="31"/>
              <w:keepNext/>
              <w:keepLines/>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Supporting 2x2 UL MIMO and TxD</w:t>
            </w:r>
          </w:p>
          <w:p>
            <w:pPr>
              <w:pStyle w:val="31"/>
              <w:keepNext/>
              <w:keepLines/>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Baseline PA configuration: 2 x 26 dBm</w:t>
            </w:r>
          </w:p>
          <w:p>
            <w:pPr>
              <w:pStyle w:val="31"/>
              <w:keepNext/>
              <w:keepLines/>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Specify the band specific requirements for exemplary bands</w:t>
            </w:r>
          </w:p>
          <w:p>
            <w:pPr>
              <w:pStyle w:val="31"/>
              <w:keepNext/>
              <w:keepLines/>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hint="eastAsia" w:ascii="Times New Roman" w:hAnsi="Times New Roman"/>
                <w:sz w:val="20"/>
                <w:szCs w:val="20"/>
              </w:rPr>
              <w:t>E</w:t>
            </w:r>
            <w:r>
              <w:rPr>
                <w:rFonts w:ascii="Times New Roman" w:hAnsi="Times New Roman"/>
                <w:sz w:val="20"/>
                <w:szCs w:val="20"/>
              </w:rPr>
              <w:t>xample bands: n1, n25</w:t>
            </w:r>
          </w:p>
          <w:p>
            <w:pPr>
              <w:keepNext/>
              <w:keepLines/>
              <w:pageBreakBefore w:val="0"/>
              <w:kinsoku/>
              <w:wordWrap/>
              <w:overflowPunct/>
              <w:topLinePunct w:val="0"/>
              <w:autoSpaceDE/>
              <w:autoSpaceDN/>
              <w:bidi w:val="0"/>
              <w:adjustRightInd/>
              <w:snapToGrid w:val="0"/>
              <w:spacing w:after="60" w:line="240" w:lineRule="auto"/>
              <w:textAlignment w:val="auto"/>
              <w:rPr>
                <w:lang w:val="en-US"/>
              </w:rPr>
            </w:pPr>
          </w:p>
          <w:p>
            <w:pPr>
              <w:pStyle w:val="31"/>
              <w:keepNext/>
              <w:keepLines/>
              <w:pageBreakBefore w:val="0"/>
              <w:numPr>
                <w:ilvl w:val="0"/>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PC1.5 1Tx for TDD bands for FWA</w:t>
            </w:r>
            <w:r>
              <w:rPr>
                <w:rFonts w:hint="eastAsia" w:ascii="Times New Roman" w:hAnsi="Times New Roman" w:eastAsia="等线"/>
                <w:sz w:val="20"/>
                <w:szCs w:val="20"/>
              </w:rPr>
              <w:t xml:space="preserve"> </w:t>
            </w:r>
            <w:r>
              <w:rPr>
                <w:rFonts w:ascii="Times New Roman" w:hAnsi="Times New Roman"/>
                <w:sz w:val="20"/>
                <w:szCs w:val="20"/>
              </w:rPr>
              <w:t>UE</w:t>
            </w:r>
          </w:p>
          <w:p>
            <w:pPr>
              <w:pStyle w:val="31"/>
              <w:keepNext/>
              <w:keepLines/>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Study the possibility of applying PC1.5 with 2Tx MPR/A-MPR requirements to PC1.5 with 1Tx, if feasible, specify the corresponding UE RF requirements, including maximum output power (MOP), MPR/A-MPR requirements, etc.</w:t>
            </w:r>
          </w:p>
          <w:p>
            <w:pPr>
              <w:pStyle w:val="31"/>
              <w:keepNext/>
              <w:keepLines/>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Baseline PA configuration: 1 x 29 dBm</w:t>
            </w:r>
          </w:p>
          <w:p>
            <w:pPr>
              <w:pStyle w:val="31"/>
              <w:keepNext/>
              <w:keepLines/>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hint="eastAsia" w:ascii="Times New Roman" w:hAnsi="Times New Roman"/>
                <w:sz w:val="20"/>
                <w:szCs w:val="20"/>
              </w:rPr>
              <w:t>E</w:t>
            </w:r>
            <w:r>
              <w:rPr>
                <w:rFonts w:ascii="Times New Roman" w:hAnsi="Times New Roman"/>
                <w:sz w:val="20"/>
                <w:szCs w:val="20"/>
              </w:rPr>
              <w:t>xample bands: n41, n77/n78, n79</w:t>
            </w:r>
          </w:p>
          <w:p>
            <w:pPr>
              <w:pStyle w:val="31"/>
              <w:keepNext/>
              <w:keepLines/>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This work is to start in 2026 Q4</w:t>
            </w:r>
          </w:p>
          <w:p>
            <w:pPr>
              <w:keepNext/>
              <w:keepLines/>
              <w:pageBreakBefore w:val="0"/>
              <w:kinsoku/>
              <w:wordWrap/>
              <w:overflowPunct/>
              <w:topLinePunct w:val="0"/>
              <w:autoSpaceDE/>
              <w:autoSpaceDN/>
              <w:bidi w:val="0"/>
              <w:adjustRightInd/>
              <w:snapToGrid w:val="0"/>
              <w:spacing w:after="60" w:line="240" w:lineRule="auto"/>
              <w:jc w:val="both"/>
              <w:textAlignment w:val="auto"/>
              <w:rPr>
                <w:lang w:val="en-US"/>
              </w:rPr>
            </w:pPr>
          </w:p>
          <w:p>
            <w:pPr>
              <w:pStyle w:val="31"/>
              <w:keepNext/>
              <w:keepLines/>
              <w:pageBreakBefore w:val="0"/>
              <w:numPr>
                <w:ilvl w:val="0"/>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2Tx for TDD bands for FWA UE</w:t>
            </w:r>
          </w:p>
          <w:p>
            <w:pPr>
              <w:pStyle w:val="31"/>
              <w:keepNext/>
              <w:keepLines/>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Study the possibility of applying PC1 with 4Tx A-MPR/MPR requirements to PC1 with 2Tx, if feasible, specify the corresponding UE RF requirements, including maximum output power (MOP), MPR/A-MPR requirements, etc.</w:t>
            </w:r>
          </w:p>
          <w:p>
            <w:pPr>
              <w:pStyle w:val="31"/>
              <w:keepNext/>
              <w:keepLines/>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sz w:val="20"/>
                <w:szCs w:val="20"/>
              </w:rPr>
              <w:t>Baseline PA configuration: 2 x 29 dBm</w:t>
            </w:r>
          </w:p>
          <w:p>
            <w:pPr>
              <w:pStyle w:val="31"/>
              <w:keepNext/>
              <w:keepLines/>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hint="eastAsia" w:ascii="Times New Roman" w:hAnsi="Times New Roman"/>
                <w:sz w:val="20"/>
                <w:szCs w:val="20"/>
              </w:rPr>
              <w:t>E</w:t>
            </w:r>
            <w:r>
              <w:rPr>
                <w:rFonts w:ascii="Times New Roman" w:hAnsi="Times New Roman"/>
                <w:sz w:val="20"/>
                <w:szCs w:val="20"/>
              </w:rPr>
              <w:t>xample bands: n41, n77/n78, n79, n104</w:t>
            </w:r>
          </w:p>
          <w:p>
            <w:pPr>
              <w:pStyle w:val="31"/>
              <w:keepNext/>
              <w:keepLines/>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eastAsia="等线"/>
                <w:sz w:val="20"/>
                <w:szCs w:val="20"/>
              </w:rPr>
              <w:t>Maximum output power is up to 32 dBm</w:t>
            </w:r>
          </w:p>
          <w:p>
            <w:pPr>
              <w:pStyle w:val="31"/>
              <w:keepNext/>
              <w:keepLines/>
              <w:pageBreakBefore w:val="0"/>
              <w:numPr>
                <w:ilvl w:val="2"/>
                <w:numId w:val="4"/>
              </w:numPr>
              <w:kinsoku/>
              <w:wordWrap/>
              <w:overflowPunct/>
              <w:topLinePunct w:val="0"/>
              <w:autoSpaceDE/>
              <w:autoSpaceDN/>
              <w:bidi w:val="0"/>
              <w:adjustRightInd/>
              <w:snapToGrid w:val="0"/>
              <w:spacing w:after="60" w:line="240" w:lineRule="auto"/>
              <w:ind w:firstLineChars="0"/>
              <w:textAlignment w:val="auto"/>
              <w:rPr>
                <w:rFonts w:ascii="Times New Roman" w:hAnsi="Times New Roman"/>
                <w:sz w:val="20"/>
                <w:szCs w:val="20"/>
              </w:rPr>
            </w:pPr>
            <w:r>
              <w:rPr>
                <w:rFonts w:ascii="Times New Roman" w:hAnsi="Times New Roman" w:eastAsia="等线"/>
                <w:sz w:val="20"/>
                <w:szCs w:val="20"/>
              </w:rPr>
              <w:t>RAN4 to determine whether to reuse PC1 or introduce new power class</w:t>
            </w:r>
          </w:p>
          <w:p>
            <w:pPr>
              <w:pStyle w:val="31"/>
              <w:keepNext/>
              <w:keepLines/>
              <w:pageBreakBefore w:val="0"/>
              <w:numPr>
                <w:ilvl w:val="1"/>
                <w:numId w:val="4"/>
              </w:numPr>
              <w:kinsoku/>
              <w:wordWrap/>
              <w:overflowPunct/>
              <w:topLinePunct w:val="0"/>
              <w:autoSpaceDE/>
              <w:autoSpaceDN/>
              <w:bidi w:val="0"/>
              <w:adjustRightInd/>
              <w:snapToGrid w:val="0"/>
              <w:spacing w:after="60" w:line="240" w:lineRule="auto"/>
              <w:ind w:firstLineChars="0"/>
              <w:textAlignment w:val="auto"/>
              <w:rPr>
                <w:rFonts w:hint="default"/>
                <w:bCs/>
                <w:i w:val="0"/>
                <w:iCs w:val="0"/>
                <w:color w:val="auto"/>
                <w:kern w:val="0"/>
                <w:sz w:val="20"/>
                <w:szCs w:val="20"/>
                <w:highlight w:val="none"/>
                <w:vertAlign w:val="baseline"/>
                <w:lang w:val="en-US" w:eastAsia="zh-CN"/>
              </w:rPr>
            </w:pPr>
            <w:r>
              <w:rPr>
                <w:rFonts w:ascii="Times New Roman" w:hAnsi="Times New Roman"/>
                <w:sz w:val="20"/>
                <w:szCs w:val="20"/>
              </w:rPr>
              <w:t>This work is to start in 2026 Q4</w:t>
            </w:r>
          </w:p>
        </w:tc>
      </w:tr>
    </w:tbl>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The first two bullets, i.e., </w:t>
      </w:r>
      <w:r>
        <w:rPr>
          <w:rFonts w:hint="default" w:ascii="Times New Roman" w:hAnsi="Times New Roman" w:cs="Times New Roman"/>
          <w:sz w:val="20"/>
          <w:szCs w:val="20"/>
        </w:rPr>
        <w:t>4Tx for CPE/FWA UE with 4x26dBm PA configurations</w:t>
      </w:r>
      <w:r>
        <w:rPr>
          <w:rFonts w:hint="eastAsia" w:eastAsia="宋体" w:cs="Times New Roman"/>
          <w:sz w:val="20"/>
          <w:szCs w:val="20"/>
          <w:lang w:val="en-US" w:eastAsia="zh-CN"/>
        </w:rPr>
        <w:t xml:space="preserve"> and 2Tx </w:t>
      </w:r>
      <w:r>
        <w:rPr>
          <w:rFonts w:hint="default" w:ascii="Times New Roman" w:hAnsi="Times New Roman" w:cs="Times New Roman"/>
          <w:sz w:val="20"/>
          <w:szCs w:val="20"/>
        </w:rPr>
        <w:t xml:space="preserve">for </w:t>
      </w:r>
      <w:r>
        <w:rPr>
          <w:rFonts w:hint="eastAsia" w:eastAsia="宋体" w:cs="Times New Roman"/>
          <w:sz w:val="20"/>
          <w:szCs w:val="20"/>
          <w:lang w:val="en-US" w:eastAsia="zh-CN"/>
        </w:rPr>
        <w:t xml:space="preserve">PC1.5 </w:t>
      </w:r>
      <w:r>
        <w:rPr>
          <w:rFonts w:hint="default" w:ascii="Times New Roman" w:hAnsi="Times New Roman" w:cs="Times New Roman"/>
          <w:sz w:val="20"/>
          <w:szCs w:val="20"/>
        </w:rPr>
        <w:t>handheld and FWA UE</w:t>
      </w:r>
      <w:r>
        <w:rPr>
          <w:rFonts w:hint="eastAsia" w:eastAsia="宋体" w:cs="Times New Roman"/>
          <w:sz w:val="20"/>
          <w:szCs w:val="20"/>
          <w:lang w:val="en-US" w:eastAsia="zh-CN"/>
        </w:rPr>
        <w:t xml:space="preserve"> with 2</w:t>
      </w:r>
      <w:r>
        <w:rPr>
          <w:rFonts w:hint="default" w:ascii="Times New Roman" w:hAnsi="Times New Roman" w:cs="Times New Roman"/>
          <w:sz w:val="20"/>
          <w:szCs w:val="20"/>
        </w:rPr>
        <w:t>x2</w:t>
      </w:r>
      <w:r>
        <w:rPr>
          <w:rFonts w:hint="eastAsia" w:eastAsia="宋体" w:cs="Times New Roman"/>
          <w:sz w:val="20"/>
          <w:szCs w:val="20"/>
          <w:lang w:val="en-US" w:eastAsia="zh-CN"/>
        </w:rPr>
        <w:t>6dBm PA configurations, will be discussed since this meeting. In this contribution, we provide some of our considerations on RF requirements.</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p>
    <w:p>
      <w:pPr>
        <w:pStyle w:val="2"/>
        <w:keepNext/>
        <w:keepLines/>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cs="Times New Roman"/>
          <w:i w:val="0"/>
          <w:iCs w:val="0"/>
          <w:sz w:val="20"/>
          <w:szCs w:val="20"/>
          <w:highlight w:val="none"/>
          <w:lang w:val="en-US" w:eastAsia="zh-CN"/>
        </w:rPr>
      </w:pPr>
      <w:r>
        <w:rPr>
          <w:rFonts w:hint="eastAsia" w:eastAsia="宋体"/>
          <w:lang w:val="en-US" w:eastAsia="zh-CN"/>
        </w:rPr>
        <w:t>Discussion</w:t>
      </w:r>
    </w:p>
    <w:p>
      <w:pPr>
        <w:keepNext/>
        <w:keepLines/>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2.1</w:t>
      </w:r>
      <w:r>
        <w:rPr>
          <w:rFonts w:hint="eastAsia" w:ascii="Arial" w:hAnsi="Arial" w:cs="Arial"/>
          <w:b/>
          <w:bCs/>
          <w:i w:val="0"/>
          <w:iCs w:val="0"/>
          <w:sz w:val="22"/>
          <w:szCs w:val="22"/>
          <w:highlight w:val="none"/>
          <w:u w:val="none"/>
          <w:lang w:val="en-US" w:eastAsia="zh-CN"/>
        </w:rPr>
        <w:tab/>
      </w:r>
      <w:r>
        <w:rPr>
          <w:rFonts w:hint="default" w:ascii="Arial" w:hAnsi="Arial" w:cs="Arial"/>
          <w:b/>
          <w:bCs/>
          <w:i w:val="0"/>
          <w:iCs w:val="0"/>
          <w:sz w:val="22"/>
          <w:szCs w:val="22"/>
          <w:highlight w:val="none"/>
          <w:u w:val="none"/>
          <w:lang w:val="en-US" w:eastAsia="zh-CN"/>
        </w:rPr>
        <w:t>4Tx for CPE/FWA</w:t>
      </w:r>
      <w:r>
        <w:rPr>
          <w:rFonts w:hint="eastAsia" w:ascii="Arial" w:hAnsi="Arial" w:cs="Arial"/>
          <w:b/>
          <w:bCs/>
          <w:i w:val="0"/>
          <w:iCs w:val="0"/>
          <w:sz w:val="22"/>
          <w:szCs w:val="22"/>
          <w:highlight w:val="none"/>
          <w:u w:val="none"/>
          <w:lang w:val="en-US" w:eastAsia="zh-CN"/>
        </w:rPr>
        <w:t xml:space="preserve"> UE with 4x26dBm PA configuration</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sz w:val="20"/>
          <w:szCs w:val="20"/>
          <w:lang w:val="en-US" w:eastAsia="zh-CN"/>
        </w:rPr>
        <w:t xml:space="preserve">It has been confirmed in the objectives that </w:t>
      </w:r>
      <w:r>
        <w:rPr>
          <w:rFonts w:hint="eastAsia" w:eastAsia="宋体" w:cs="Times New Roman"/>
          <w:sz w:val="20"/>
          <w:szCs w:val="20"/>
          <w:lang w:val="en-US" w:eastAsia="zh-CN"/>
        </w:rPr>
        <w:t xml:space="preserve">PC1/[PC1b] </w:t>
      </w:r>
      <w:r>
        <w:rPr>
          <w:rFonts w:hint="eastAsia" w:ascii="Times New Roman" w:hAnsi="Times New Roman" w:eastAsia="宋体" w:cs="Times New Roman"/>
          <w:sz w:val="20"/>
          <w:szCs w:val="20"/>
          <w:lang w:val="en-US" w:eastAsia="zh-CN"/>
        </w:rPr>
        <w:t>4x4 UL MIMO and TxD is supported</w:t>
      </w:r>
      <w:r>
        <w:rPr>
          <w:rFonts w:hint="eastAsia" w:eastAsia="宋体" w:cs="Times New Roman"/>
          <w:sz w:val="20"/>
          <w:szCs w:val="20"/>
          <w:lang w:val="en-US" w:eastAsia="zh-CN"/>
        </w:rPr>
        <w:t xml:space="preserve"> for </w:t>
      </w:r>
      <w:r>
        <w:rPr>
          <w:rFonts w:hint="eastAsia" w:eastAsia="宋体"/>
          <w:lang w:val="en-US" w:eastAsia="zh-CN"/>
        </w:rPr>
        <w:t>TDD single carrier with the maximum output power up to 32dBm</w:t>
      </w:r>
      <w:r>
        <w:rPr>
          <w:rFonts w:hint="eastAsia" w:ascii="Times New Roman" w:hAnsi="Times New Roman" w:eastAsia="宋体" w:cs="Times New Roman"/>
          <w:sz w:val="20"/>
          <w:szCs w:val="20"/>
          <w:lang w:val="en-US" w:eastAsia="zh-CN"/>
        </w:rPr>
        <w:t>.</w:t>
      </w:r>
      <w:bookmarkStart w:id="0" w:name="OLE_LINK9"/>
      <w:r>
        <w:rPr>
          <w:rFonts w:hint="eastAsia" w:ascii="Times New Roman" w:hAnsi="Times New Roman" w:eastAsia="宋体" w:cs="Times New Roman"/>
          <w:sz w:val="20"/>
          <w:szCs w:val="20"/>
          <w:lang w:val="en-US" w:eastAsia="zh-CN"/>
        </w:rPr>
        <w:t xml:space="preserve"> </w:t>
      </w:r>
      <w:r>
        <w:rPr>
          <w:rFonts w:hint="eastAsia" w:eastAsia="宋体"/>
          <w:lang w:val="en-US" w:eastAsia="zh-CN"/>
        </w:rPr>
        <w:t xml:space="preserve">In Rel-18, </w:t>
      </w:r>
      <w:r>
        <w:t xml:space="preserve">4Tx for </w:t>
      </w:r>
      <w:r>
        <w:rPr>
          <w:rFonts w:hint="eastAsia" w:eastAsia="宋体"/>
          <w:lang w:val="en-US" w:eastAsia="zh-CN"/>
        </w:rPr>
        <w:t xml:space="preserve">PC1.5 </w:t>
      </w:r>
      <w:r>
        <w:t>CPE/FWA U</w:t>
      </w:r>
      <w:r>
        <w:rPr>
          <w:rFonts w:hint="eastAsia" w:eastAsia="宋体"/>
          <w:lang w:val="en-US" w:eastAsia="zh-CN"/>
        </w:rPr>
        <w:t xml:space="preserve">E with </w:t>
      </w:r>
      <w:r>
        <w:rPr>
          <w:rFonts w:hint="eastAsia" w:eastAsia="宋体"/>
          <w:highlight w:val="none"/>
          <w:lang w:val="en-US" w:eastAsia="zh-CN"/>
        </w:rPr>
        <w:t>4x23dBm</w:t>
      </w:r>
      <w:r>
        <w:rPr>
          <w:rFonts w:hint="eastAsia" w:ascii="Times New Roman" w:hAnsi="Times New Roman" w:cs="Times New Roman"/>
          <w:lang w:val="en-US" w:eastAsia="zh-CN"/>
        </w:rPr>
        <w:t>, 2x23dBm+2x26dBm, 4x26dBm</w:t>
      </w:r>
      <w:r>
        <w:rPr>
          <w:rFonts w:hint="eastAsia" w:eastAsia="宋体"/>
          <w:lang w:val="en-US" w:eastAsia="zh-CN"/>
        </w:rPr>
        <w:t xml:space="preserve"> PA configurations were discussed and corresponding 4-port UL MIMO and TxD require</w:t>
      </w:r>
      <w:r>
        <w:rPr>
          <w:rFonts w:hint="eastAsia" w:ascii="Times New Roman" w:hAnsi="Times New Roman" w:eastAsia="宋体" w:cs="Times New Roman"/>
          <w:lang w:val="en-US" w:eastAsia="zh-CN"/>
        </w:rPr>
        <w:t>ments were specified in TS38.101-1, which can be referred</w:t>
      </w:r>
      <w:r>
        <w:rPr>
          <w:rFonts w:hint="eastAsia" w:eastAsia="宋体" w:cs="Times New Roman"/>
          <w:lang w:val="en-US" w:eastAsia="zh-CN"/>
        </w:rPr>
        <w:t xml:space="preserve"> to</w:t>
      </w:r>
      <w:r>
        <w:rPr>
          <w:rFonts w:hint="eastAsia" w:ascii="Times New Roman" w:hAnsi="Times New Roman" w:eastAsia="宋体" w:cs="Times New Roman"/>
          <w:lang w:val="en-US" w:eastAsia="zh-CN"/>
        </w:rPr>
        <w:t xml:space="preserve">. </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outlineLvl w:val="2"/>
        <w:rPr>
          <w:rFonts w:hint="default" w:ascii="Times New Roman" w:hAnsi="Times New Roman" w:eastAsia="宋体" w:cs="Times New Roman"/>
          <w:lang w:val="en-US" w:eastAsia="zh-CN"/>
        </w:rPr>
      </w:pPr>
      <w:r>
        <w:rPr>
          <w:rFonts w:hint="eastAsia" w:cs="Times New Roman"/>
          <w:b/>
          <w:bCs/>
          <w:i w:val="0"/>
          <w:iCs w:val="0"/>
          <w:sz w:val="20"/>
          <w:szCs w:val="20"/>
          <w:highlight w:val="none"/>
          <w:u w:val="single"/>
          <w:lang w:val="en-US" w:eastAsia="zh-CN"/>
        </w:rPr>
        <w:t>UL MIMO and TxD</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lang w:val="en-US" w:eastAsia="zh-CN"/>
        </w:rPr>
        <w:t>For the RF requirements related to UL MIMO, RAN4 ha</w:t>
      </w:r>
      <w:r>
        <w:rPr>
          <w:rFonts w:hint="eastAsia" w:eastAsia="宋体" w:cs="Times New Roman"/>
          <w:lang w:val="en-US" w:eastAsia="zh-CN"/>
        </w:rPr>
        <w:t>s</w:t>
      </w:r>
      <w:r>
        <w:rPr>
          <w:rFonts w:hint="default" w:ascii="Times New Roman" w:hAnsi="Times New Roman" w:eastAsia="宋体" w:cs="Times New Roman"/>
          <w:lang w:val="en-US" w:eastAsia="zh-CN"/>
        </w:rPr>
        <w:t xml:space="preserve"> already defined</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 xml:space="preserve">UL MIMO </w:t>
      </w:r>
      <w:r>
        <w:rPr>
          <w:rFonts w:hint="eastAsia" w:ascii="Times New Roman" w:hAnsi="Times New Roman" w:eastAsia="宋体" w:cs="Times New Roman"/>
          <w:lang w:val="en-US" w:eastAsia="zh-CN"/>
        </w:rPr>
        <w:t xml:space="preserve">requirements for </w:t>
      </w:r>
      <w:r>
        <w:rPr>
          <w:rFonts w:hint="eastAsia" w:eastAsia="宋体" w:cs="Times New Roman"/>
          <w:lang w:val="en-US" w:eastAsia="zh-CN"/>
        </w:rPr>
        <w:t>multiple</w:t>
      </w:r>
      <w:r>
        <w:rPr>
          <w:rFonts w:hint="eastAsia" w:ascii="Times New Roman" w:hAnsi="Times New Roman" w:eastAsia="宋体" w:cs="Times New Roman"/>
          <w:lang w:val="en-US" w:eastAsia="zh-CN"/>
        </w:rPr>
        <w:t xml:space="preserve"> transmit antenna connectors</w:t>
      </w:r>
      <w:r>
        <w:rPr>
          <w:rFonts w:hint="eastAsia" w:eastAsia="宋体" w:cs="Times New Roman"/>
          <w:lang w:val="en-US" w:eastAsia="zh-CN"/>
        </w:rPr>
        <w:t xml:space="preserve"> up to a maximum of four</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 xml:space="preserve">in TS38.101-1, where some of the requirements </w:t>
      </w:r>
      <w:r>
        <w:rPr>
          <w:rFonts w:hint="eastAsia" w:ascii="Times New Roman" w:hAnsi="Times New Roman" w:eastAsia="宋体" w:cs="Times New Roman"/>
          <w:lang w:val="en-US" w:eastAsia="zh-CN"/>
        </w:rPr>
        <w:t xml:space="preserve">apply to </w:t>
      </w:r>
      <w:r>
        <w:t>the sum from all UE transmit antenna connector</w:t>
      </w:r>
      <w:r>
        <w:rPr>
          <w:rFonts w:hint="eastAsia"/>
          <w:lang w:eastAsia="zh-CN"/>
        </w:rPr>
        <w:t>s</w:t>
      </w:r>
      <w:r>
        <w:rPr>
          <w:rFonts w:hint="default" w:ascii="Times New Roman" w:hAnsi="Times New Roman" w:eastAsia="宋体" w:cs="Times New Roman"/>
          <w:lang w:val="en-US" w:eastAsia="zh-CN"/>
        </w:rPr>
        <w:t xml:space="preserve"> and other requirements </w:t>
      </w:r>
      <w:r>
        <w:rPr>
          <w:rFonts w:hint="eastAsia" w:ascii="Times New Roman" w:hAnsi="Times New Roman" w:eastAsia="宋体" w:cs="Times New Roman"/>
          <w:lang w:val="en-US" w:eastAsia="zh-CN"/>
        </w:rPr>
        <w:t>apply to</w:t>
      </w:r>
      <w:r>
        <w:rPr>
          <w:rFonts w:hint="default" w:ascii="Times New Roman" w:hAnsi="Times New Roman" w:eastAsia="宋体" w:cs="Times New Roman"/>
          <w:lang w:val="en-US" w:eastAsia="zh-CN"/>
        </w:rPr>
        <w:t xml:space="preserve"> each transmit antenna connector.</w:t>
      </w:r>
      <w:r>
        <w:rPr>
          <w:rFonts w:hint="eastAsia" w:ascii="Times New Roman" w:hAnsi="Times New Roman" w:eastAsia="宋体" w:cs="Times New Roman"/>
          <w:lang w:val="en-US" w:eastAsia="zh-CN"/>
        </w:rPr>
        <w:t xml:space="preserve"> </w:t>
      </w:r>
      <w:bookmarkEnd w:id="0"/>
      <w:bookmarkStart w:id="1" w:name="OLE_LINK22"/>
      <w:r>
        <w:rPr>
          <w:rFonts w:hint="eastAsia" w:ascii="Times New Roman" w:hAnsi="Times New Roman" w:eastAsia="宋体" w:cs="Times New Roman"/>
          <w:lang w:val="en-US" w:eastAsia="zh-CN"/>
        </w:rPr>
        <w:t xml:space="preserve">The RF requirements for </w:t>
      </w:r>
      <w:bookmarkStart w:id="2" w:name="OLE_LINK34"/>
      <w:r>
        <w:rPr>
          <w:rFonts w:hint="eastAsia" w:ascii="Times New Roman" w:hAnsi="Times New Roman" w:eastAsia="宋体" w:cs="Times New Roman"/>
          <w:lang w:val="en-US" w:eastAsia="zh-CN"/>
        </w:rPr>
        <w:t>UL MIMO</w:t>
      </w:r>
      <w:bookmarkEnd w:id="2"/>
      <w:r>
        <w:rPr>
          <w:rFonts w:hint="eastAsia" w:ascii="Times New Roman" w:hAnsi="Times New Roman" w:eastAsia="宋体" w:cs="Times New Roman"/>
          <w:lang w:val="en-US" w:eastAsia="zh-CN"/>
        </w:rPr>
        <w:t xml:space="preserve"> in current TS38.101-1 are summarized In Table 1.</w:t>
      </w:r>
    </w:p>
    <w:bookmarkEnd w:id="1"/>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Table 1 UL MIMO RF requirement types in TS38.101-1</w:t>
      </w:r>
    </w:p>
    <w:tbl>
      <w:tblPr>
        <w:tblStyle w:val="19"/>
        <w:tblW w:w="77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36"/>
        <w:gridCol w:w="4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36" w:type="dxa"/>
          </w:tcPr>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RF requirements for UL MIMO</w:t>
            </w:r>
          </w:p>
        </w:tc>
        <w:tc>
          <w:tcPr>
            <w:tcW w:w="4116" w:type="dxa"/>
          </w:tcPr>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Apply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36" w:type="dxa"/>
            <w:vAlign w:val="top"/>
          </w:tcPr>
          <w:p>
            <w:pPr>
              <w:keepNext/>
              <w:keepLines/>
              <w:pageBreakBefore w:val="0"/>
              <w:widowControl/>
              <w:numPr>
                <w:ilvl w:val="0"/>
                <w:numId w:val="5"/>
              </w:numPr>
              <w:suppressLineNumbers w:val="0"/>
              <w:kinsoku/>
              <w:wordWrap/>
              <w:overflowPunct/>
              <w:topLinePunct w:val="0"/>
              <w:autoSpaceDE/>
              <w:autoSpaceDN/>
              <w:bidi w:val="0"/>
              <w:adjustRightInd/>
              <w:snapToGrid w:val="0"/>
              <w:spacing w:before="60" w:after="60" w:line="240" w:lineRule="auto"/>
              <w:ind w:left="420" w:leftChars="0" w:hanging="420" w:firstLineChars="0"/>
              <w:jc w:val="left"/>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 xml:space="preserve">UE maximum output power </w:t>
            </w:r>
          </w:p>
          <w:p>
            <w:pPr>
              <w:keepNext/>
              <w:keepLines/>
              <w:pageBreakBefore w:val="0"/>
              <w:widowControl/>
              <w:numPr>
                <w:ilvl w:val="0"/>
                <w:numId w:val="5"/>
              </w:numPr>
              <w:suppressLineNumbers w:val="0"/>
              <w:kinsoku/>
              <w:wordWrap/>
              <w:overflowPunct/>
              <w:topLinePunct w:val="0"/>
              <w:autoSpaceDE/>
              <w:autoSpaceDN/>
              <w:bidi w:val="0"/>
              <w:adjustRightInd/>
              <w:snapToGrid w:val="0"/>
              <w:spacing w:before="60" w:after="60" w:line="240" w:lineRule="auto"/>
              <w:ind w:left="420" w:leftChars="0" w:hanging="420" w:firstLineChars="0"/>
              <w:jc w:val="left"/>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MPR/A-MPR</w:t>
            </w:r>
          </w:p>
          <w:p>
            <w:pPr>
              <w:keepNext/>
              <w:keepLines/>
              <w:pageBreakBefore w:val="0"/>
              <w:widowControl/>
              <w:numPr>
                <w:ilvl w:val="0"/>
                <w:numId w:val="5"/>
              </w:numPr>
              <w:suppressLineNumbers w:val="0"/>
              <w:kinsoku/>
              <w:wordWrap/>
              <w:overflowPunct/>
              <w:topLinePunct w:val="0"/>
              <w:autoSpaceDE/>
              <w:autoSpaceDN/>
              <w:bidi w:val="0"/>
              <w:adjustRightInd/>
              <w:snapToGrid w:val="0"/>
              <w:spacing w:before="60" w:after="60" w:line="240" w:lineRule="auto"/>
              <w:ind w:left="420" w:hanging="420"/>
              <w:jc w:val="left"/>
              <w:textAlignment w:val="auto"/>
              <w:rPr>
                <w:rFonts w:ascii="Times New Roman" w:hAnsi="Times New Roman" w:eastAsia="宋体" w:cs="Times New Roman"/>
                <w:color w:val="auto"/>
                <w:kern w:val="2"/>
                <w:sz w:val="20"/>
                <w:szCs w:val="20"/>
                <w:lang w:val="en-US" w:eastAsia="zh-CN" w:bidi="ar"/>
              </w:rPr>
            </w:pPr>
            <w:r>
              <w:rPr>
                <w:rFonts w:ascii="Times New Roman" w:hAnsi="Times New Roman" w:eastAsia="宋体" w:cs="Times New Roman"/>
                <w:color w:val="auto"/>
                <w:kern w:val="2"/>
                <w:sz w:val="20"/>
                <w:szCs w:val="20"/>
                <w:lang w:val="en-US" w:eastAsia="zh-CN" w:bidi="ar"/>
              </w:rPr>
              <w:t>Minimum output power</w:t>
            </w:r>
          </w:p>
          <w:p>
            <w:pPr>
              <w:keepNext/>
              <w:keepLines/>
              <w:pageBreakBefore w:val="0"/>
              <w:widowControl/>
              <w:numPr>
                <w:ilvl w:val="0"/>
                <w:numId w:val="5"/>
              </w:numPr>
              <w:suppressLineNumbers w:val="0"/>
              <w:kinsoku/>
              <w:wordWrap/>
              <w:overflowPunct/>
              <w:topLinePunct w:val="0"/>
              <w:autoSpaceDE/>
              <w:autoSpaceDN/>
              <w:bidi w:val="0"/>
              <w:adjustRightInd/>
              <w:snapToGrid w:val="0"/>
              <w:spacing w:before="60" w:after="60" w:line="240" w:lineRule="auto"/>
              <w:ind w:left="420" w:leftChars="0" w:hanging="420" w:firstLineChars="0"/>
              <w:jc w:val="left"/>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cs="Times New Roman"/>
                <w:sz w:val="20"/>
                <w:szCs w:val="20"/>
                <w:highlight w:val="none"/>
              </w:rPr>
              <w:t>Configured transmitted power</w:t>
            </w:r>
          </w:p>
          <w:p>
            <w:pPr>
              <w:keepNext/>
              <w:keepLines/>
              <w:pageBreakBefore w:val="0"/>
              <w:widowControl/>
              <w:numPr>
                <w:ilvl w:val="0"/>
                <w:numId w:val="5"/>
              </w:numPr>
              <w:suppressLineNumbers w:val="0"/>
              <w:kinsoku/>
              <w:wordWrap/>
              <w:overflowPunct/>
              <w:topLinePunct w:val="0"/>
              <w:autoSpaceDE/>
              <w:autoSpaceDN/>
              <w:bidi w:val="0"/>
              <w:adjustRightInd/>
              <w:snapToGrid w:val="0"/>
              <w:spacing w:before="60" w:after="60" w:line="240" w:lineRule="auto"/>
              <w:ind w:left="420" w:leftChars="0" w:hanging="420" w:firstLineChars="0"/>
              <w:jc w:val="left"/>
              <w:textAlignment w:val="auto"/>
              <w:rPr>
                <w:rFonts w:hint="default" w:ascii="Times New Roman" w:hAnsi="Times New Roman" w:eastAsia="宋体" w:cs="Times New Roman"/>
                <w:sz w:val="20"/>
                <w:szCs w:val="20"/>
                <w:lang w:val="en-US" w:eastAsia="zh-CN"/>
              </w:rPr>
            </w:pPr>
            <w:r>
              <w:rPr>
                <w:rFonts w:hint="default" w:ascii="Times New Roman" w:hAnsi="Times New Roman" w:cs="Times New Roman"/>
                <w:color w:val="auto"/>
                <w:kern w:val="2"/>
                <w:sz w:val="20"/>
                <w:szCs w:val="20"/>
                <w:lang w:val="en-US" w:eastAsia="zh-CN" w:bidi="ar"/>
              </w:rPr>
              <w:t>OBW/</w:t>
            </w:r>
            <w:r>
              <w:rPr>
                <w:rFonts w:hint="default" w:ascii="Times New Roman" w:hAnsi="Times New Roman" w:cs="Times New Roman"/>
                <w:sz w:val="20"/>
                <w:szCs w:val="20"/>
                <w:lang w:val="en-US" w:eastAsia="zh-CN"/>
              </w:rPr>
              <w:t>Out of band emission</w:t>
            </w:r>
            <w:r>
              <w:rPr>
                <w:rFonts w:hint="eastAsia" w:ascii="Times New Roman" w:hAnsi="Times New Roman" w:cs="Times New Roman"/>
                <w:sz w:val="20"/>
                <w:szCs w:val="20"/>
                <w:lang w:val="en-US" w:eastAsia="zh-CN"/>
              </w:rPr>
              <w:t>/</w:t>
            </w:r>
            <w:r>
              <w:rPr>
                <w:rFonts w:hint="default" w:ascii="Times New Roman" w:hAnsi="Times New Roman" w:cs="Times New Roman"/>
                <w:color w:val="auto"/>
                <w:kern w:val="2"/>
                <w:sz w:val="20"/>
                <w:szCs w:val="20"/>
                <w:lang w:val="en-US" w:eastAsia="zh-CN" w:bidi="ar"/>
              </w:rPr>
              <w:t>SE</w:t>
            </w:r>
          </w:p>
        </w:tc>
        <w:tc>
          <w:tcPr>
            <w:tcW w:w="4116" w:type="dxa"/>
          </w:tcPr>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en-US" w:eastAsia="zh-CN"/>
              </w:rPr>
            </w:pPr>
            <w:r>
              <w:rPr>
                <w:rFonts w:hint="eastAsia" w:eastAsia="宋体"/>
                <w:lang w:val="en-US" w:eastAsia="zh-CN"/>
              </w:rPr>
              <w:t>A</w:t>
            </w:r>
            <w:r>
              <w:t>pply to the sum from all UE transmit antenna connector</w:t>
            </w:r>
            <w:r>
              <w:rPr>
                <w:rFonts w:hint="eastAsia"/>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36" w:type="dxa"/>
            <w:vAlign w:val="top"/>
          </w:tcPr>
          <w:p>
            <w:pPr>
              <w:keepNext/>
              <w:keepLines/>
              <w:pageBreakBefore w:val="0"/>
              <w:widowControl/>
              <w:numPr>
                <w:ilvl w:val="0"/>
                <w:numId w:val="5"/>
              </w:numPr>
              <w:suppressLineNumbers w:val="0"/>
              <w:kinsoku/>
              <w:wordWrap/>
              <w:overflowPunct/>
              <w:topLinePunct w:val="0"/>
              <w:autoSpaceDE/>
              <w:autoSpaceDN/>
              <w:bidi w:val="0"/>
              <w:adjustRightInd/>
              <w:snapToGrid w:val="0"/>
              <w:spacing w:before="60" w:after="60" w:line="240" w:lineRule="auto"/>
              <w:ind w:left="420" w:hanging="420"/>
              <w:jc w:val="left"/>
              <w:textAlignment w:val="auto"/>
              <w:rPr>
                <w:rFonts w:ascii="Times New Roman" w:hAnsi="Times New Roman" w:eastAsia="宋体" w:cs="Times New Roman"/>
                <w:color w:val="auto"/>
                <w:kern w:val="2"/>
                <w:sz w:val="20"/>
                <w:szCs w:val="20"/>
                <w:lang w:val="en-US" w:eastAsia="zh-CN" w:bidi="ar"/>
              </w:rPr>
            </w:pPr>
            <w:r>
              <w:rPr>
                <w:rFonts w:hint="eastAsia" w:ascii="Times New Roman" w:hAnsi="Times New Roman" w:eastAsia="宋体" w:cs="Times New Roman"/>
                <w:color w:val="auto"/>
                <w:kern w:val="2"/>
                <w:sz w:val="20"/>
                <w:szCs w:val="20"/>
                <w:lang w:val="en-US" w:eastAsia="zh-CN" w:bidi="ar"/>
              </w:rPr>
              <w:t>Frequency error</w:t>
            </w:r>
          </w:p>
          <w:p>
            <w:pPr>
              <w:keepNext/>
              <w:keepLines/>
              <w:pageBreakBefore w:val="0"/>
              <w:widowControl/>
              <w:numPr>
                <w:ilvl w:val="0"/>
                <w:numId w:val="5"/>
              </w:numPr>
              <w:suppressLineNumbers w:val="0"/>
              <w:kinsoku/>
              <w:wordWrap/>
              <w:overflowPunct/>
              <w:topLinePunct w:val="0"/>
              <w:autoSpaceDE/>
              <w:autoSpaceDN/>
              <w:bidi w:val="0"/>
              <w:adjustRightInd/>
              <w:snapToGrid w:val="0"/>
              <w:spacing w:before="60" w:after="60" w:line="240" w:lineRule="auto"/>
              <w:ind w:left="420" w:hanging="420"/>
              <w:jc w:val="left"/>
              <w:textAlignment w:val="auto"/>
              <w:rPr>
                <w:rFonts w:ascii="Times New Roman" w:hAnsi="Times New Roman" w:eastAsia="宋体" w:cs="Times New Roman"/>
                <w:color w:val="auto"/>
                <w:kern w:val="2"/>
                <w:sz w:val="20"/>
                <w:szCs w:val="20"/>
                <w:lang w:val="en-US" w:eastAsia="zh-CN" w:bidi="ar"/>
              </w:rPr>
            </w:pPr>
            <w:r>
              <w:rPr>
                <w:rFonts w:ascii="Times New Roman" w:hAnsi="Times New Roman" w:eastAsia="宋体" w:cs="Times New Roman"/>
                <w:color w:val="auto"/>
                <w:kern w:val="2"/>
                <w:sz w:val="20"/>
                <w:szCs w:val="20"/>
                <w:lang w:val="en-US" w:eastAsia="zh-CN" w:bidi="ar"/>
              </w:rPr>
              <w:t>Transmit OFF power</w:t>
            </w:r>
          </w:p>
          <w:p>
            <w:pPr>
              <w:keepNext/>
              <w:keepLines/>
              <w:pageBreakBefore w:val="0"/>
              <w:widowControl/>
              <w:numPr>
                <w:ilvl w:val="0"/>
                <w:numId w:val="5"/>
              </w:numPr>
              <w:suppressLineNumbers w:val="0"/>
              <w:kinsoku/>
              <w:wordWrap/>
              <w:overflowPunct/>
              <w:topLinePunct w:val="0"/>
              <w:autoSpaceDE/>
              <w:autoSpaceDN/>
              <w:bidi w:val="0"/>
              <w:adjustRightInd/>
              <w:snapToGrid w:val="0"/>
              <w:spacing w:before="60" w:after="60" w:line="240" w:lineRule="auto"/>
              <w:ind w:left="420" w:hanging="420"/>
              <w:jc w:val="left"/>
              <w:textAlignment w:val="auto"/>
              <w:rPr>
                <w:rFonts w:ascii="Times New Roman" w:hAnsi="Times New Roman" w:eastAsia="宋体" w:cs="Times New Roman"/>
                <w:color w:val="auto"/>
                <w:kern w:val="2"/>
                <w:sz w:val="20"/>
                <w:szCs w:val="20"/>
                <w:lang w:val="en-US" w:eastAsia="zh-CN" w:bidi="ar"/>
              </w:rPr>
            </w:pPr>
            <w:r>
              <w:rPr>
                <w:rFonts w:hint="default" w:ascii="Times New Roman" w:hAnsi="Times New Roman" w:eastAsia="宋体" w:cs="Times New Roman"/>
                <w:color w:val="auto"/>
                <w:kern w:val="2"/>
                <w:sz w:val="20"/>
                <w:szCs w:val="20"/>
                <w:lang w:val="en-US" w:eastAsia="zh-CN" w:bidi="ar"/>
              </w:rPr>
              <w:t>T</w:t>
            </w:r>
            <w:r>
              <w:rPr>
                <w:rFonts w:ascii="Times New Roman" w:hAnsi="Times New Roman" w:eastAsia="宋体" w:cs="Times New Roman"/>
                <w:color w:val="auto"/>
                <w:kern w:val="2"/>
                <w:sz w:val="20"/>
                <w:szCs w:val="20"/>
                <w:lang w:val="en-US" w:eastAsia="zh-CN" w:bidi="ar"/>
              </w:rPr>
              <w:t xml:space="preserve">ransmit ON/OFF time mask </w:t>
            </w:r>
          </w:p>
          <w:p>
            <w:pPr>
              <w:keepNext/>
              <w:keepLines/>
              <w:pageBreakBefore w:val="0"/>
              <w:widowControl/>
              <w:numPr>
                <w:ilvl w:val="0"/>
                <w:numId w:val="5"/>
              </w:numPr>
              <w:suppressLineNumbers w:val="0"/>
              <w:kinsoku/>
              <w:wordWrap/>
              <w:overflowPunct/>
              <w:topLinePunct w:val="0"/>
              <w:autoSpaceDE/>
              <w:autoSpaceDN/>
              <w:bidi w:val="0"/>
              <w:adjustRightInd/>
              <w:snapToGrid w:val="0"/>
              <w:spacing w:before="60" w:after="60" w:line="240" w:lineRule="auto"/>
              <w:ind w:left="420" w:hanging="420"/>
              <w:jc w:val="left"/>
              <w:textAlignment w:val="auto"/>
              <w:rPr>
                <w:rFonts w:hint="default" w:ascii="Times New Roman" w:hAnsi="Times New Roman" w:eastAsia="宋体" w:cs="Times New Roman"/>
                <w:color w:val="auto"/>
                <w:kern w:val="2"/>
                <w:sz w:val="20"/>
                <w:szCs w:val="20"/>
                <w:lang w:val="en-US" w:eastAsia="zh-CN" w:bidi="ar"/>
              </w:rPr>
            </w:pPr>
            <w:r>
              <w:rPr>
                <w:rFonts w:ascii="Times New Roman" w:hAnsi="Times New Roman" w:eastAsia="宋体" w:cs="Times New Roman"/>
                <w:color w:val="auto"/>
                <w:kern w:val="2"/>
                <w:sz w:val="20"/>
                <w:szCs w:val="20"/>
                <w:lang w:val="en-US" w:eastAsia="zh-CN" w:bidi="ar"/>
              </w:rPr>
              <w:t>Transmit modulation quality</w:t>
            </w:r>
            <w:r>
              <w:rPr>
                <w:rFonts w:hint="eastAsia" w:ascii="Times New Roman" w:hAnsi="Times New Roman" w:eastAsia="宋体" w:cs="Times New Roman"/>
                <w:color w:val="auto"/>
                <w:kern w:val="2"/>
                <w:sz w:val="20"/>
                <w:szCs w:val="20"/>
                <w:lang w:val="en-US" w:eastAsia="zh-CN" w:bidi="ar"/>
              </w:rPr>
              <w:t xml:space="preserve"> </w:t>
            </w:r>
            <w:r>
              <w:rPr>
                <w:rFonts w:hint="default" w:ascii="Times New Roman" w:hAnsi="Times New Roman" w:cs="Times New Roman"/>
                <w:color w:val="auto"/>
                <w:kern w:val="2"/>
                <w:sz w:val="20"/>
                <w:szCs w:val="20"/>
                <w:lang w:val="en-US" w:eastAsia="zh-CN" w:bidi="ar"/>
              </w:rPr>
              <w:t>(EVM, carrier leakage, IBE, etc..)</w:t>
            </w:r>
          </w:p>
          <w:p>
            <w:pPr>
              <w:keepNext/>
              <w:keepLines/>
              <w:pageBreakBefore w:val="0"/>
              <w:widowControl/>
              <w:numPr>
                <w:ilvl w:val="0"/>
                <w:numId w:val="5"/>
              </w:numPr>
              <w:suppressLineNumbers w:val="0"/>
              <w:kinsoku/>
              <w:wordWrap/>
              <w:overflowPunct/>
              <w:topLinePunct w:val="0"/>
              <w:autoSpaceDE/>
              <w:autoSpaceDN/>
              <w:bidi w:val="0"/>
              <w:adjustRightInd/>
              <w:snapToGrid w:val="0"/>
              <w:spacing w:before="60" w:after="60" w:line="240" w:lineRule="auto"/>
              <w:ind w:left="420" w:leftChars="0" w:hanging="420" w:firstLineChars="0"/>
              <w:jc w:val="left"/>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color w:val="auto"/>
                <w:kern w:val="2"/>
                <w:sz w:val="20"/>
                <w:szCs w:val="20"/>
                <w:lang w:val="en-US" w:eastAsia="zh-CN" w:bidi="ar"/>
              </w:rPr>
              <w:t>Transmit intermodulation</w:t>
            </w:r>
          </w:p>
        </w:tc>
        <w:tc>
          <w:tcPr>
            <w:tcW w:w="4116" w:type="dxa"/>
          </w:tcPr>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Apply to each</w:t>
            </w:r>
            <w:r>
              <w:rPr>
                <w:rFonts w:hint="default" w:ascii="Times New Roman" w:hAnsi="Times New Roman" w:eastAsia="宋体" w:cs="Times New Roman"/>
                <w:sz w:val="20"/>
                <w:szCs w:val="20"/>
                <w:lang w:val="en-US" w:eastAsia="zh-CN"/>
              </w:rPr>
              <w:t xml:space="preserve"> transmit antenna connector</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36" w:type="dxa"/>
            <w:vAlign w:val="top"/>
          </w:tcPr>
          <w:p>
            <w:pPr>
              <w:keepNext/>
              <w:keepLines/>
              <w:pageBreakBefore w:val="0"/>
              <w:widowControl/>
              <w:numPr>
                <w:ilvl w:val="0"/>
                <w:numId w:val="5"/>
              </w:numPr>
              <w:suppressLineNumbers w:val="0"/>
              <w:kinsoku/>
              <w:wordWrap/>
              <w:overflowPunct/>
              <w:topLinePunct w:val="0"/>
              <w:autoSpaceDE/>
              <w:autoSpaceDN/>
              <w:bidi w:val="0"/>
              <w:adjustRightInd/>
              <w:snapToGrid w:val="0"/>
              <w:spacing w:before="60" w:after="60" w:line="240" w:lineRule="auto"/>
              <w:ind w:left="420" w:hanging="420"/>
              <w:jc w:val="left"/>
              <w:textAlignment w:val="auto"/>
              <w:rPr>
                <w:rFonts w:hint="default" w:ascii="Times New Roman" w:hAnsi="Times New Roman" w:eastAsia="宋体" w:cs="Times New Roman"/>
                <w:color w:val="auto"/>
                <w:kern w:val="2"/>
                <w:sz w:val="20"/>
                <w:szCs w:val="20"/>
                <w:lang w:val="en-US" w:eastAsia="zh-CN" w:bidi="ar"/>
              </w:rPr>
            </w:pPr>
            <w:r>
              <w:rPr>
                <w:rFonts w:hint="eastAsia" w:cs="Times New Roman"/>
                <w:color w:val="auto"/>
                <w:kern w:val="2"/>
                <w:sz w:val="20"/>
                <w:szCs w:val="20"/>
                <w:lang w:val="en-US" w:eastAsia="zh-CN" w:bidi="ar"/>
              </w:rPr>
              <w:t>Time alignment error</w:t>
            </w:r>
          </w:p>
          <w:p>
            <w:pPr>
              <w:keepNext/>
              <w:keepLines/>
              <w:pageBreakBefore w:val="0"/>
              <w:widowControl/>
              <w:numPr>
                <w:ilvl w:val="0"/>
                <w:numId w:val="5"/>
              </w:numPr>
              <w:suppressLineNumbers w:val="0"/>
              <w:kinsoku/>
              <w:wordWrap/>
              <w:overflowPunct/>
              <w:topLinePunct w:val="0"/>
              <w:autoSpaceDE/>
              <w:autoSpaceDN/>
              <w:bidi w:val="0"/>
              <w:adjustRightInd/>
              <w:snapToGrid w:val="0"/>
              <w:spacing w:before="60" w:after="60" w:line="240" w:lineRule="auto"/>
              <w:ind w:left="420" w:leftChars="0" w:hanging="420" w:firstLineChars="0"/>
              <w:jc w:val="left"/>
              <w:textAlignment w:val="auto"/>
              <w:rPr>
                <w:rFonts w:hint="default" w:ascii="Times New Roman" w:hAnsi="Times New Roman" w:eastAsia="宋体" w:cs="Times New Roman"/>
                <w:sz w:val="20"/>
                <w:szCs w:val="20"/>
                <w:lang w:val="en-US" w:eastAsia="zh-CN"/>
              </w:rPr>
            </w:pPr>
            <w:r>
              <w:rPr>
                <w:rFonts w:hint="eastAsia" w:cs="Times New Roman"/>
                <w:color w:val="auto"/>
                <w:kern w:val="2"/>
                <w:sz w:val="20"/>
                <w:szCs w:val="20"/>
                <w:lang w:val="en-US" w:eastAsia="zh-CN" w:bidi="ar"/>
              </w:rPr>
              <w:t>Coherent UL MIMO</w:t>
            </w:r>
          </w:p>
        </w:tc>
        <w:tc>
          <w:tcPr>
            <w:tcW w:w="4116" w:type="dxa"/>
          </w:tcPr>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D</w:t>
            </w:r>
            <w:r>
              <w:rPr>
                <w:rFonts w:hint="default" w:ascii="Times New Roman" w:hAnsi="Times New Roman" w:eastAsia="宋体" w:cs="Times New Roman"/>
                <w:sz w:val="20"/>
                <w:szCs w:val="20"/>
                <w:lang w:val="en-US" w:eastAsia="zh-CN"/>
              </w:rPr>
              <w:t xml:space="preserve">ifference between </w:t>
            </w:r>
            <w:r>
              <w:rPr>
                <w:rFonts w:hint="eastAsia" w:ascii="Times New Roman" w:hAnsi="Times New Roman" w:eastAsia="宋体" w:cs="Times New Roman"/>
                <w:sz w:val="20"/>
                <w:szCs w:val="20"/>
                <w:lang w:val="en-US" w:eastAsia="zh-CN"/>
              </w:rPr>
              <w:t xml:space="preserve">any </w:t>
            </w:r>
            <w:r>
              <w:rPr>
                <w:rFonts w:hint="default" w:ascii="Times New Roman" w:hAnsi="Times New Roman" w:eastAsia="宋体" w:cs="Times New Roman"/>
                <w:sz w:val="20"/>
                <w:szCs w:val="20"/>
                <w:lang w:val="en-US" w:eastAsia="zh-CN"/>
              </w:rPr>
              <w:t>two different transmit antenna connectors</w:t>
            </w:r>
          </w:p>
        </w:tc>
      </w:tr>
    </w:tbl>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highlight w:val="none"/>
          <w:lang w:val="en-US" w:eastAsia="zh-CN"/>
        </w:rPr>
      </w:pPr>
      <w:r>
        <w:rPr>
          <w:rFonts w:hint="eastAsia" w:ascii="Times New Roman" w:hAnsi="Times New Roman" w:eastAsia="宋体" w:cs="Times New Roman"/>
          <w:sz w:val="20"/>
          <w:szCs w:val="20"/>
          <w:lang w:val="en-US" w:eastAsia="zh-CN"/>
        </w:rPr>
        <w:t xml:space="preserve">Then for this new CPE/FWA UE with 4x26dBm PA configuration, </w:t>
      </w:r>
      <w:r>
        <w:rPr>
          <w:rFonts w:hint="eastAsia" w:eastAsia="宋体" w:cs="Times New Roman"/>
          <w:sz w:val="20"/>
          <w:szCs w:val="20"/>
          <w:lang w:val="en-US" w:eastAsia="zh-CN"/>
        </w:rPr>
        <w:t xml:space="preserve">the existing approach can be reused. For the requirements that are defined </w:t>
      </w:r>
      <w:r>
        <w:rPr>
          <w:rFonts w:hint="eastAsia" w:ascii="Times New Roman" w:hAnsi="Times New Roman" w:eastAsia="宋体" w:cs="Times New Roman"/>
          <w:sz w:val="20"/>
          <w:szCs w:val="20"/>
          <w:lang w:val="en-US" w:eastAsia="zh-CN"/>
        </w:rPr>
        <w:t xml:space="preserve">on </w:t>
      </w:r>
      <w:r>
        <w:rPr>
          <w:rFonts w:hint="eastAsia" w:eastAsia="宋体" w:cs="Times New Roman"/>
          <w:sz w:val="20"/>
          <w:szCs w:val="20"/>
          <w:lang w:val="en-US" w:eastAsia="zh-CN"/>
        </w:rPr>
        <w:t>each</w:t>
      </w:r>
      <w:r>
        <w:rPr>
          <w:rFonts w:hint="eastAsia" w:ascii="Times New Roman" w:hAnsi="Times New Roman" w:eastAsia="宋体" w:cs="Times New Roman"/>
          <w:sz w:val="20"/>
          <w:szCs w:val="20"/>
          <w:lang w:val="en-US" w:eastAsia="zh-CN"/>
        </w:rPr>
        <w:t xml:space="preserve"> transmit antenna connector</w:t>
      </w:r>
      <w:r>
        <w:rPr>
          <w:rFonts w:hint="eastAsia" w:eastAsia="宋体" w:cs="Times New Roman"/>
          <w:sz w:val="20"/>
          <w:szCs w:val="20"/>
          <w:lang w:val="en-US" w:eastAsia="zh-CN"/>
        </w:rPr>
        <w:t xml:space="preserve"> can keep unchanged, such as frequency error/Transmit OFF power, </w:t>
      </w:r>
      <w:r>
        <w:rPr>
          <w:rFonts w:hint="eastAsia" w:ascii="Times New Roman" w:hAnsi="Times New Roman" w:eastAsia="宋体" w:cs="Times New Roman"/>
          <w:sz w:val="20"/>
          <w:szCs w:val="20"/>
          <w:lang w:val="en-US" w:eastAsia="zh-CN"/>
        </w:rPr>
        <w:t xml:space="preserve">TAE and coherent UL MIMO. </w:t>
      </w:r>
      <w:r>
        <w:rPr>
          <w:rFonts w:hint="eastAsia" w:ascii="Times New Roman" w:hAnsi="Times New Roman" w:eastAsia="宋体" w:cs="Times New Roman"/>
          <w:sz w:val="20"/>
          <w:szCs w:val="20"/>
          <w:highlight w:val="none"/>
          <w:lang w:val="en-US" w:eastAsia="zh-CN"/>
        </w:rPr>
        <w:t xml:space="preserve">For the requirements that apply to the sum from all UE transmit antenna connectors, </w:t>
      </w:r>
      <w:r>
        <w:rPr>
          <w:rFonts w:hint="eastAsia" w:eastAsia="宋体" w:cs="Times New Roman"/>
          <w:sz w:val="20"/>
          <w:szCs w:val="20"/>
          <w:highlight w:val="none"/>
          <w:lang w:val="en-US" w:eastAsia="zh-CN"/>
        </w:rPr>
        <w:t xml:space="preserve">such as </w:t>
      </w:r>
      <w:r>
        <w:rPr>
          <w:rFonts w:hint="eastAsia" w:ascii="Times New Roman" w:hAnsi="Times New Roman" w:eastAsia="宋体" w:cs="Times New Roman"/>
          <w:sz w:val="20"/>
          <w:szCs w:val="20"/>
          <w:highlight w:val="none"/>
          <w:lang w:val="en-US" w:eastAsia="zh-CN"/>
        </w:rPr>
        <w:t>minimum output power and OBW/out of band emission/SE requirements</w:t>
      </w:r>
      <w:r>
        <w:rPr>
          <w:rFonts w:hint="eastAsia" w:eastAsia="宋体"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 xml:space="preserve"> </w:t>
      </w:r>
      <w:r>
        <w:rPr>
          <w:rFonts w:hint="eastAsia" w:eastAsia="宋体" w:cs="Times New Roman"/>
          <w:sz w:val="20"/>
          <w:szCs w:val="20"/>
          <w:highlight w:val="none"/>
          <w:lang w:val="en-US" w:eastAsia="zh-CN"/>
        </w:rPr>
        <w:t xml:space="preserve">they </w:t>
      </w:r>
      <w:r>
        <w:rPr>
          <w:rFonts w:hint="eastAsia" w:ascii="Times New Roman" w:hAnsi="Times New Roman" w:eastAsia="宋体" w:cs="Times New Roman"/>
          <w:sz w:val="20"/>
          <w:szCs w:val="20"/>
          <w:highlight w:val="none"/>
          <w:lang w:val="en-US" w:eastAsia="zh-CN"/>
        </w:rPr>
        <w:t>are agnostic of power class and number of transmit antenna connectors</w:t>
      </w:r>
      <w:r>
        <w:rPr>
          <w:rFonts w:hint="eastAsia" w:eastAsia="宋体" w:cs="Times New Roman"/>
          <w:sz w:val="20"/>
          <w:szCs w:val="20"/>
          <w:highlight w:val="none"/>
          <w:lang w:val="en-US" w:eastAsia="zh-CN"/>
        </w:rPr>
        <w:t xml:space="preserve">. But the sum power from all UE transmit antenna connectors is subject to the power class. </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eastAsia="宋体" w:cs="Times New Roman"/>
          <w:sz w:val="20"/>
          <w:szCs w:val="20"/>
          <w:highlight w:val="none"/>
          <w:lang w:val="en-US" w:eastAsia="zh-CN"/>
        </w:rPr>
        <w:t xml:space="preserve">The power class for </w:t>
      </w:r>
      <w:r>
        <w:rPr>
          <w:rFonts w:hint="eastAsia" w:ascii="Times New Roman" w:hAnsi="Times New Roman"/>
          <w:sz w:val="20"/>
          <w:szCs w:val="20"/>
        </w:rPr>
        <w:t>4x26dBm PA configurations</w:t>
      </w:r>
      <w:r>
        <w:rPr>
          <w:rFonts w:hint="eastAsia" w:eastAsia="宋体"/>
          <w:sz w:val="20"/>
          <w:szCs w:val="20"/>
          <w:lang w:val="en-US" w:eastAsia="zh-CN"/>
        </w:rPr>
        <w:t xml:space="preserve"> haven</w:t>
      </w:r>
      <w:r>
        <w:rPr>
          <w:rFonts w:hint="default" w:eastAsia="宋体"/>
          <w:sz w:val="20"/>
          <w:szCs w:val="20"/>
          <w:lang w:val="en-US" w:eastAsia="zh-CN"/>
        </w:rPr>
        <w:t>’</w:t>
      </w:r>
      <w:r>
        <w:rPr>
          <w:rFonts w:hint="eastAsia" w:eastAsia="宋体"/>
          <w:sz w:val="20"/>
          <w:szCs w:val="20"/>
          <w:lang w:val="en-US" w:eastAsia="zh-CN"/>
        </w:rPr>
        <w:t xml:space="preserve">t been decided yet and it will be discussed in this meeting. As we discussed in our paper [2] in this meeting, if </w:t>
      </w:r>
      <w:r>
        <w:rPr>
          <w:rFonts w:hint="eastAsia" w:cs="Times New Roman"/>
          <w:b w:val="0"/>
          <w:bCs w:val="0"/>
          <w:i w:val="0"/>
          <w:iCs w:val="0"/>
          <w:sz w:val="20"/>
          <w:szCs w:val="20"/>
          <w:highlight w:val="none"/>
          <w:lang w:val="en-US" w:eastAsia="zh-CN"/>
        </w:rPr>
        <w:t>introducing a new power class, the co-existence simulation should be studied first for ACLR evaluation to guarantee a UE with higher power class cannot cause high interference for the existing system.</w:t>
      </w:r>
      <w:r>
        <w:rPr>
          <w:rFonts w:hint="eastAsia" w:eastAsia="宋体"/>
          <w:sz w:val="20"/>
          <w:szCs w:val="20"/>
          <w:lang w:val="en-US" w:eastAsia="zh-CN"/>
        </w:rPr>
        <w:t xml:space="preserve"> </w:t>
      </w:r>
      <w:r>
        <w:rPr>
          <w:rFonts w:hint="eastAsia" w:cs="Times New Roman"/>
          <w:b w:val="0"/>
          <w:bCs w:val="0"/>
          <w:i w:val="0"/>
          <w:iCs w:val="0"/>
          <w:sz w:val="20"/>
          <w:szCs w:val="20"/>
          <w:highlight w:val="none"/>
          <w:lang w:val="en-US" w:eastAsia="zh-CN"/>
        </w:rPr>
        <w:t>Accordingly, a series of new RF requirements for this new power class should be specified, which is a quite new work.</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r>
        <w:rPr>
          <w:rFonts w:hint="eastAsia" w:cs="Times New Roman"/>
          <w:b w:val="0"/>
          <w:bCs w:val="0"/>
          <w:i w:val="0"/>
          <w:iCs w:val="0"/>
          <w:sz w:val="20"/>
          <w:szCs w:val="20"/>
          <w:highlight w:val="none"/>
          <w:lang w:val="en-US" w:eastAsia="zh-CN"/>
        </w:rPr>
        <w:t xml:space="preserve">With the same PC1 power class, </w:t>
      </w:r>
      <w:r>
        <w:rPr>
          <w:rFonts w:hint="eastAsia" w:eastAsia="宋体"/>
          <w:sz w:val="20"/>
          <w:szCs w:val="20"/>
          <w:lang w:val="en-US" w:eastAsia="zh-CN"/>
        </w:rPr>
        <w:t xml:space="preserve">the </w:t>
      </w:r>
      <w:r>
        <w:rPr>
          <w:rFonts w:hint="eastAsia" w:ascii="Times New Roman" w:hAnsi="Times New Roman" w:eastAsia="宋体" w:cs="Times New Roman"/>
          <w:sz w:val="20"/>
          <w:szCs w:val="20"/>
          <w:lang w:val="en-US" w:eastAsia="zh-CN"/>
        </w:rPr>
        <w:t xml:space="preserve">MPR/A-MPR </w:t>
      </w:r>
      <w:r>
        <w:rPr>
          <w:rFonts w:hint="eastAsia" w:eastAsia="宋体" w:cs="Times New Roman"/>
          <w:sz w:val="20"/>
          <w:szCs w:val="20"/>
          <w:lang w:val="en-US" w:eastAsia="zh-CN"/>
        </w:rPr>
        <w:t xml:space="preserve">requirements </w:t>
      </w:r>
      <w:r>
        <w:rPr>
          <w:rFonts w:hint="eastAsia" w:ascii="Times New Roman" w:hAnsi="Times New Roman" w:eastAsia="宋体" w:cs="Times New Roman"/>
          <w:sz w:val="20"/>
          <w:szCs w:val="20"/>
          <w:lang w:val="en-US" w:eastAsia="zh-CN"/>
        </w:rPr>
        <w:t xml:space="preserve">should </w:t>
      </w:r>
      <w:r>
        <w:rPr>
          <w:rFonts w:hint="eastAsia" w:eastAsia="宋体" w:cs="Times New Roman"/>
          <w:sz w:val="20"/>
          <w:szCs w:val="20"/>
          <w:lang w:val="en-US" w:eastAsia="zh-CN"/>
        </w:rPr>
        <w:t xml:space="preserve">also </w:t>
      </w:r>
      <w:r>
        <w:rPr>
          <w:rFonts w:hint="eastAsia" w:ascii="Times New Roman" w:hAnsi="Times New Roman" w:eastAsia="宋体" w:cs="Times New Roman"/>
          <w:sz w:val="20"/>
          <w:szCs w:val="20"/>
          <w:lang w:val="en-US" w:eastAsia="zh-CN"/>
        </w:rPr>
        <w:t xml:space="preserve">be specified for 4Tx CPE/FWA UE with 4x26dBm PA configuration </w:t>
      </w:r>
      <w:r>
        <w:rPr>
          <w:rFonts w:hint="eastAsia" w:eastAsia="宋体" w:cs="Times New Roman"/>
          <w:sz w:val="20"/>
          <w:szCs w:val="20"/>
          <w:lang w:val="en-US" w:eastAsia="zh-CN"/>
        </w:rPr>
        <w:t>considering the more severe RIMD products caused by 4Tx, which would make it difficult for a UE to meet OOB emission requirements. Consequently, larger MPR/A-MPR requirements may be needed.</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lang w:val="en-US" w:eastAsia="zh-CN"/>
        </w:rPr>
      </w:pPr>
      <w:r>
        <w:rPr>
          <w:rFonts w:hint="eastAsia" w:eastAsia="宋体" w:cs="Times New Roman"/>
          <w:sz w:val="20"/>
          <w:szCs w:val="20"/>
          <w:lang w:val="en-US" w:eastAsia="zh-CN"/>
        </w:rPr>
        <w:t xml:space="preserve">Therefore, different power class decision will cause different workload in RAN4. The RF requirements discussion would largely depend on which power class is adopted. </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b/>
          <w:bCs/>
          <w:sz w:val="20"/>
          <w:szCs w:val="20"/>
          <w:lang w:val="en-US" w:eastAsia="zh-CN"/>
        </w:rPr>
      </w:pPr>
      <w:r>
        <w:rPr>
          <w:rFonts w:hint="eastAsia" w:eastAsia="宋体" w:cs="Times New Roman"/>
          <w:b/>
          <w:bCs/>
          <w:sz w:val="20"/>
          <w:szCs w:val="20"/>
          <w:lang w:val="en-US" w:eastAsia="zh-CN"/>
        </w:rPr>
        <w:t>Observation 1. Reusing legacy PC1 ans introducing a new power class will cause different workload in RAN4. The RF requirements discussion would largely depend on which power class is adopted.</w:t>
      </w:r>
    </w:p>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157" w:afterLines="50" w:line="240" w:lineRule="auto"/>
        <w:ind w:leftChars="0"/>
        <w:jc w:val="left"/>
        <w:textAlignment w:val="auto"/>
        <w:rPr>
          <w:rFonts w:hint="eastAsia" w:eastAsia="宋体" w:cs="Times New Roman"/>
          <w:b/>
          <w:bCs/>
          <w:sz w:val="20"/>
          <w:szCs w:val="20"/>
          <w:lang w:val="en-US" w:eastAsia="zh-CN"/>
        </w:rPr>
      </w:pPr>
      <w:r>
        <w:rPr>
          <w:rFonts w:hint="eastAsia" w:eastAsia="宋体" w:cs="Times New Roman"/>
          <w:b/>
          <w:bCs/>
          <w:sz w:val="20"/>
          <w:szCs w:val="20"/>
          <w:lang w:val="en-US" w:eastAsia="zh-CN"/>
        </w:rPr>
        <w:t>Proposal 1: The requirements of Frequency error, Transmit OFF power, Transmit ON/OFF time mask, Transmit modulation quality, Transmit intermodulation keep unchanged for 4x26dBm PA configurations, regardless of which power class is adopted.</w:t>
      </w:r>
    </w:p>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157" w:afterLines="50" w:line="240" w:lineRule="auto"/>
        <w:ind w:leftChars="0"/>
        <w:jc w:val="left"/>
        <w:textAlignment w:val="auto"/>
        <w:rPr>
          <w:rFonts w:hint="default" w:eastAsia="宋体" w:cs="Times New Roman"/>
          <w:b/>
          <w:bCs/>
          <w:sz w:val="20"/>
          <w:szCs w:val="20"/>
          <w:lang w:val="en-US" w:eastAsia="zh-CN"/>
        </w:rPr>
      </w:pPr>
      <w:r>
        <w:rPr>
          <w:rFonts w:hint="eastAsia" w:eastAsia="宋体" w:cs="Times New Roman"/>
          <w:b/>
          <w:bCs/>
          <w:sz w:val="20"/>
          <w:szCs w:val="20"/>
          <w:lang w:val="en-US" w:eastAsia="zh-CN"/>
        </w:rPr>
        <w:t>Proposal 2: There are no changes for Rx requirements for 4x26dBm PA configurations, regardless of which power class is adopted.</w:t>
      </w:r>
    </w:p>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157" w:afterLines="50" w:line="240" w:lineRule="auto"/>
        <w:ind w:leftChars="0"/>
        <w:jc w:val="left"/>
        <w:textAlignment w:val="auto"/>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Proposal </w:t>
      </w:r>
      <w:r>
        <w:rPr>
          <w:rFonts w:hint="eastAsia" w:eastAsia="宋体" w:cs="Times New Roman"/>
          <w:b/>
          <w:bCs/>
          <w:sz w:val="20"/>
          <w:szCs w:val="20"/>
          <w:lang w:val="en-US" w:eastAsia="zh-CN"/>
        </w:rPr>
        <w:t>3</w:t>
      </w:r>
      <w:r>
        <w:rPr>
          <w:rFonts w:hint="eastAsia" w:ascii="Times New Roman" w:hAnsi="Times New Roman" w:eastAsia="宋体" w:cs="Times New Roman"/>
          <w:b/>
          <w:bCs/>
          <w:sz w:val="20"/>
          <w:szCs w:val="20"/>
          <w:lang w:val="en-US" w:eastAsia="zh-CN"/>
        </w:rPr>
        <w:t xml:space="preserve">: </w:t>
      </w:r>
      <w:r>
        <w:rPr>
          <w:rFonts w:hint="eastAsia" w:eastAsia="宋体" w:cs="Times New Roman"/>
          <w:b/>
          <w:bCs/>
          <w:sz w:val="20"/>
          <w:szCs w:val="20"/>
          <w:lang w:val="en-US" w:eastAsia="zh-CN"/>
        </w:rPr>
        <w:t xml:space="preserve">For the requirements depends on sum of power </w:t>
      </w:r>
      <w:r>
        <w:rPr>
          <w:rFonts w:hint="eastAsia" w:eastAsia="宋体"/>
          <w:b/>
          <w:bCs/>
          <w:szCs w:val="20"/>
          <w:lang w:eastAsia="zh-CN"/>
        </w:rPr>
        <w:t>from all UE transmit antenna connectors</w:t>
      </w:r>
      <w:r>
        <w:rPr>
          <w:rFonts w:hint="eastAsia" w:eastAsia="宋体"/>
          <w:b/>
          <w:bCs/>
          <w:szCs w:val="20"/>
          <w:lang w:val="en-US" w:eastAsia="zh-CN"/>
        </w:rPr>
        <w:t xml:space="preserve">, e.g. </w:t>
      </w:r>
      <w:r>
        <w:rPr>
          <w:rFonts w:hint="eastAsia" w:eastAsia="宋体" w:cs="Times New Roman"/>
          <w:b/>
          <w:bCs/>
          <w:sz w:val="20"/>
          <w:szCs w:val="20"/>
          <w:lang w:val="en-US" w:eastAsia="zh-CN"/>
        </w:rPr>
        <w:t xml:space="preserve">MPR/A-MPR, OOB emission requirements, it should be postponed until </w:t>
      </w:r>
      <w:r>
        <w:rPr>
          <w:rFonts w:hint="eastAsia" w:ascii="Times New Roman" w:hAnsi="Times New Roman" w:eastAsia="宋体" w:cs="Times New Roman"/>
          <w:b/>
          <w:bCs/>
          <w:sz w:val="20"/>
          <w:szCs w:val="20"/>
          <w:lang w:val="en-US" w:eastAsia="zh-CN"/>
        </w:rPr>
        <w:t>RAN4 decides the power class.</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For signal antenna port with 4Tx diversity, the requirements for TxD can be derived from UL MIMO requirements.</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w:t>
      </w:r>
      <w:r>
        <w:rPr>
          <w:rFonts w:hint="eastAsia" w:ascii="Times New Roman" w:hAnsi="Times New Roman" w:cs="Times New Roman"/>
          <w:b/>
          <w:bCs/>
          <w:i w:val="0"/>
          <w:iCs w:val="0"/>
          <w:sz w:val="20"/>
          <w:szCs w:val="20"/>
          <w:highlight w:val="none"/>
          <w:lang w:val="en-US" w:eastAsia="zh-CN"/>
        </w:rPr>
        <w:t xml:space="preserve">al </w:t>
      </w:r>
      <w:r>
        <w:rPr>
          <w:rFonts w:hint="eastAsia" w:cs="Times New Roman"/>
          <w:b/>
          <w:bCs/>
          <w:i w:val="0"/>
          <w:iCs w:val="0"/>
          <w:sz w:val="20"/>
          <w:szCs w:val="20"/>
          <w:highlight w:val="none"/>
          <w:lang w:val="en-US" w:eastAsia="zh-CN"/>
        </w:rPr>
        <w:t>4</w:t>
      </w:r>
      <w:r>
        <w:rPr>
          <w:rFonts w:hint="eastAsia" w:ascii="Times New Roman" w:hAnsi="Times New Roman" w:cs="Times New Roman"/>
          <w:b/>
          <w:bCs/>
          <w:i w:val="0"/>
          <w:iCs w:val="0"/>
          <w:sz w:val="20"/>
          <w:szCs w:val="20"/>
          <w:highlight w:val="none"/>
          <w:lang w:val="en-US" w:eastAsia="zh-CN"/>
        </w:rPr>
        <w:t>: The requirements for TxD can be derived from UL MIMO requirements.</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outlineLvl w:val="2"/>
        <w:rPr>
          <w:rFonts w:hint="default" w:cs="Times New Roman"/>
          <w:b/>
          <w:bCs/>
          <w:i w:val="0"/>
          <w:iCs w:val="0"/>
          <w:sz w:val="20"/>
          <w:szCs w:val="20"/>
          <w:highlight w:val="none"/>
          <w:u w:val="single"/>
          <w:lang w:val="en-US" w:eastAsia="zh-CN"/>
        </w:rPr>
      </w:pPr>
      <w:r>
        <w:rPr>
          <w:rFonts w:hint="eastAsia" w:cs="Times New Roman"/>
          <w:b/>
          <w:bCs/>
          <w:i w:val="0"/>
          <w:iCs w:val="0"/>
          <w:sz w:val="20"/>
          <w:szCs w:val="20"/>
          <w:highlight w:val="none"/>
          <w:u w:val="single"/>
          <w:lang w:val="en-US" w:eastAsia="zh-CN"/>
        </w:rPr>
        <w:t>ULFPTx</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ULFPTx feature is introduced in Rel-16 as UL MIMO enhancement, and for 4Tx PC1.5 UL MIMO in Rel-18, ULFPTx requirements were defined. In the WID, due to the maximum output is up to 32dBm (actually there are two choices, which are 31dBm or 32dBm.), for ULFPTX, it seems only mode-1 is considered.</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To achieve 31dBm or 32dBm maximum output, only ULFPTx mode-1 is considered.</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p>
    <w:p>
      <w:pPr>
        <w:keepNext/>
        <w:keepLines/>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ab/>
      </w:r>
      <w:r>
        <w:rPr>
          <w:rFonts w:hint="eastAsia" w:ascii="Arial" w:hAnsi="Arial" w:cs="Arial"/>
          <w:b/>
          <w:bCs/>
          <w:i w:val="0"/>
          <w:iCs w:val="0"/>
          <w:sz w:val="22"/>
          <w:szCs w:val="22"/>
          <w:highlight w:val="none"/>
          <w:u w:val="none"/>
          <w:lang w:val="en-US" w:eastAsia="zh-CN"/>
        </w:rPr>
        <w:t>PC1.5 with 2Tx for FDD bands for handheld and FWA UE</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ascii="Times New Roman" w:hAnsi="Times New Roman" w:cs="Times New Roman"/>
          <w:b w:val="0"/>
          <w:bCs w:val="0"/>
          <w:i w:val="0"/>
          <w:iCs w:val="0"/>
          <w:sz w:val="20"/>
          <w:szCs w:val="20"/>
          <w:highlight w:val="none"/>
          <w:lang w:val="en-US" w:eastAsia="zh-CN"/>
        </w:rPr>
      </w:pPr>
      <w:r>
        <w:rPr>
          <w:rFonts w:hint="eastAsia" w:ascii="Times New Roman" w:hAnsi="Times New Roman" w:cs="Times New Roman"/>
          <w:b w:val="0"/>
          <w:bCs w:val="0"/>
          <w:i w:val="0"/>
          <w:iCs w:val="0"/>
          <w:sz w:val="20"/>
          <w:szCs w:val="20"/>
          <w:highlight w:val="none"/>
          <w:lang w:val="en-US" w:eastAsia="zh-CN"/>
        </w:rPr>
        <w:t xml:space="preserve">PC1.5 with 2Tx for FDD bands for handheld and FWA UE are going to be introduced in this WID since FDD bands are also important for some operators considering </w:t>
      </w:r>
      <w:r>
        <w:t>data throughput for cell edge users is not satisfactory</w:t>
      </w:r>
      <w:r>
        <w:rPr>
          <w:rFonts w:hint="eastAsia" w:eastAsia="宋体"/>
          <w:highlight w:val="none"/>
          <w:lang w:val="en-US" w:eastAsia="zh-CN"/>
        </w:rPr>
        <w:t>. This is not the first time to introduce HPUE for FDD bands. In R</w:t>
      </w:r>
      <w:r>
        <w:rPr>
          <w:rFonts w:hint="eastAsia" w:ascii="Times New Roman" w:hAnsi="Times New Roman" w:eastAsia="宋体" w:cs="Times New Roman"/>
          <w:highlight w:val="none"/>
          <w:lang w:val="en-US" w:eastAsia="zh-CN"/>
        </w:rPr>
        <w:t>el-17, PC2 HPUE for FDD bands was introduced. In current TS38.101-1,</w:t>
      </w:r>
      <w:r>
        <w:rPr>
          <w:rFonts w:hint="eastAsia" w:cs="Times New Roman"/>
          <w:b w:val="0"/>
          <w:bCs w:val="0"/>
          <w:i w:val="0"/>
          <w:iCs w:val="0"/>
          <w:sz w:val="20"/>
          <w:szCs w:val="20"/>
          <w:highlight w:val="none"/>
          <w:lang w:val="en-US" w:eastAsia="zh-CN"/>
        </w:rPr>
        <w:t xml:space="preserve"> </w:t>
      </w:r>
      <w:r>
        <w:rPr>
          <w:rFonts w:hint="eastAsia" w:ascii="Times New Roman" w:hAnsi="Times New Roman" w:cs="Times New Roman"/>
          <w:b w:val="0"/>
          <w:bCs w:val="0"/>
          <w:i w:val="0"/>
          <w:iCs w:val="0"/>
          <w:sz w:val="20"/>
          <w:szCs w:val="20"/>
          <w:highlight w:val="none"/>
          <w:lang w:val="en-US" w:eastAsia="zh-CN"/>
        </w:rPr>
        <w:t xml:space="preserve">PC1.5 with 2Tx for TDD bands, such as n41, n77, n78, n79, and related 2x2 UL MIMO and TxD requirements are specified. These requirements are agnostic of NR bands. If RAN4 would like to introduce new FDD bands for PC1.5 UE with 2Tx, </w:t>
      </w:r>
      <w:r>
        <w:rPr>
          <w:rFonts w:hint="eastAsia" w:cs="Times New Roman"/>
          <w:b w:val="0"/>
          <w:bCs w:val="0"/>
          <w:i w:val="0"/>
          <w:iCs w:val="0"/>
          <w:sz w:val="20"/>
          <w:szCs w:val="20"/>
          <w:highlight w:val="none"/>
          <w:lang w:val="en-US" w:eastAsia="zh-CN"/>
        </w:rPr>
        <w:t xml:space="preserve">some </w:t>
      </w:r>
      <w:r>
        <w:rPr>
          <w:rFonts w:hint="eastAsia" w:ascii="Times New Roman" w:hAnsi="Times New Roman" w:cs="Times New Roman"/>
          <w:b w:val="0"/>
          <w:bCs w:val="0"/>
          <w:i w:val="0"/>
          <w:iCs w:val="0"/>
          <w:sz w:val="20"/>
          <w:szCs w:val="20"/>
          <w:highlight w:val="none"/>
          <w:lang w:val="en-US" w:eastAsia="zh-CN"/>
        </w:rPr>
        <w:t>legacy requirements should also apply, including maximum output power and MPR.</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6: The MPR requirements of </w:t>
      </w:r>
      <w:r>
        <w:rPr>
          <w:rFonts w:hint="eastAsia" w:ascii="Times New Roman" w:hAnsi="Times New Roman" w:cs="Times New Roman"/>
          <w:b/>
          <w:bCs/>
          <w:i w:val="0"/>
          <w:iCs w:val="0"/>
          <w:sz w:val="20"/>
          <w:szCs w:val="20"/>
          <w:highlight w:val="none"/>
          <w:lang w:val="en-US" w:eastAsia="zh-CN"/>
        </w:rPr>
        <w:t xml:space="preserve">PC1.5 2Tx requirements for TDD bands can </w:t>
      </w:r>
      <w:r>
        <w:rPr>
          <w:rFonts w:hint="eastAsia" w:cs="Times New Roman"/>
          <w:b/>
          <w:bCs/>
          <w:i w:val="0"/>
          <w:iCs w:val="0"/>
          <w:sz w:val="20"/>
          <w:szCs w:val="20"/>
          <w:highlight w:val="none"/>
          <w:lang w:val="en-US" w:eastAsia="zh-CN"/>
        </w:rPr>
        <w:t xml:space="preserve">be </w:t>
      </w:r>
      <w:r>
        <w:rPr>
          <w:rFonts w:hint="eastAsia" w:ascii="Times New Roman" w:hAnsi="Times New Roman" w:cs="Times New Roman"/>
          <w:b/>
          <w:bCs/>
          <w:i w:val="0"/>
          <w:iCs w:val="0"/>
          <w:sz w:val="20"/>
          <w:szCs w:val="20"/>
          <w:highlight w:val="none"/>
          <w:lang w:val="en-US" w:eastAsia="zh-CN"/>
        </w:rPr>
        <w:t>appl</w:t>
      </w:r>
      <w:r>
        <w:rPr>
          <w:rFonts w:hint="eastAsia" w:cs="Times New Roman"/>
          <w:b/>
          <w:bCs/>
          <w:i w:val="0"/>
          <w:iCs w:val="0"/>
          <w:sz w:val="20"/>
          <w:szCs w:val="20"/>
          <w:highlight w:val="none"/>
          <w:lang w:val="en-US" w:eastAsia="zh-CN"/>
        </w:rPr>
        <w:t>ied</w:t>
      </w:r>
      <w:r>
        <w:rPr>
          <w:rFonts w:hint="eastAsia" w:ascii="Times New Roman" w:hAnsi="Times New Roman" w:cs="Times New Roman"/>
          <w:b/>
          <w:bCs/>
          <w:i w:val="0"/>
          <w:iCs w:val="0"/>
          <w:sz w:val="20"/>
          <w:szCs w:val="20"/>
          <w:highlight w:val="none"/>
          <w:lang w:val="en-US" w:eastAsia="zh-CN"/>
        </w:rPr>
        <w:t xml:space="preserve"> to FDD bands for PC1.5 UE with 2Tx.</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One difference between PC1.5 2Tx FDD and PC1.5 2Tx TDD is A-MPR requirement. A-MPR is band-specific requirement which need to be discussed one by one for FDD bands.</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7: A-MPR needs to be discussed for PC1.5 2Tx for FDD bands.</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Another difference between PC1.5 2Tx FDD and PC1.5 2Tx TDD is that RSD requirements should be defined for 2Tx FDD due to the self-interference impacts on Rx from its own Tx. There are two example bands, n1 and n25, to be defined in the WID. In current TS38.101-1, the RSD requirements </w:t>
      </w:r>
      <w:r>
        <w:rPr>
          <w:rFonts w:eastAsia="PMingLiU"/>
        </w:rPr>
        <w:t>from PC3 to PC2 for</w:t>
      </w:r>
      <w:bookmarkStart w:id="3" w:name="OLE_LINK1"/>
      <w:r>
        <w:rPr>
          <w:rFonts w:hint="eastAsia" w:eastAsia="宋体"/>
          <w:lang w:val="en-US" w:eastAsia="zh-CN"/>
        </w:rPr>
        <w:t xml:space="preserve"> </w:t>
      </w:r>
      <w:r>
        <w:rPr>
          <w:rFonts w:hint="eastAsia"/>
          <w:lang w:eastAsia="zh-CN"/>
        </w:rPr>
        <w:t>FDD bands</w:t>
      </w:r>
      <w:r>
        <w:rPr>
          <w:rFonts w:hint="eastAsia"/>
          <w:lang w:val="en-US" w:eastAsia="zh-CN"/>
        </w:rPr>
        <w:t xml:space="preserve"> n1 and n25</w:t>
      </w:r>
      <w:r>
        <w:rPr>
          <w:rFonts w:hint="eastAsia"/>
          <w:lang w:eastAsia="zh-CN"/>
        </w:rPr>
        <w:t xml:space="preserve"> for </w:t>
      </w:r>
      <w:r>
        <w:rPr>
          <w:rFonts w:eastAsia="PMingLiU"/>
        </w:rPr>
        <w:t xml:space="preserve">UE </w:t>
      </w:r>
      <w:bookmarkStart w:id="4" w:name="OLE_LINK5"/>
      <w:r>
        <w:rPr>
          <w:rFonts w:eastAsia="PMingLiU"/>
        </w:rPr>
        <w:t>supporting Tx Diversity</w:t>
      </w:r>
      <w:bookmarkEnd w:id="3"/>
      <w:bookmarkEnd w:id="4"/>
      <w:r>
        <w:rPr>
          <w:rFonts w:hint="eastAsia" w:eastAsia="宋体"/>
          <w:lang w:val="en-US" w:eastAsia="zh-CN"/>
        </w:rPr>
        <w:t xml:space="preserve"> are defined as:</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00"/>
        <w:gridCol w:w="741"/>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b/>
                <w:sz w:val="18"/>
                <w:lang w:val="en-GB" w:eastAsia="en-US" w:bidi="ar-SA"/>
              </w:rPr>
            </w:pPr>
            <w:r>
              <w:rPr>
                <w:rFonts w:ascii="Arial" w:hAnsi="Arial" w:eastAsia="PMingLiU" w:cs="Times New Roman"/>
                <w:b/>
                <w:sz w:val="18"/>
                <w:lang w:val="en-GB" w:eastAsia="en-US" w:bidi="ar-SA"/>
              </w:rPr>
              <w:t>Operating Band</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b/>
                <w:sz w:val="18"/>
                <w:szCs w:val="20"/>
                <w:lang w:val="en-US" w:eastAsia="en-GB"/>
              </w:rPr>
            </w:pPr>
            <w:r>
              <w:rPr>
                <w:rFonts w:ascii="Arial" w:hAnsi="Arial" w:eastAsia="PMingLiU"/>
                <w:b/>
                <w:sz w:val="18"/>
                <w:szCs w:val="20"/>
                <w:lang w:val="en-US" w:eastAsia="en-GB"/>
              </w:rPr>
              <w:t>3</w:t>
            </w:r>
          </w:p>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b/>
                <w:sz w:val="18"/>
                <w:lang w:val="en-GB" w:eastAsia="en-US" w:bidi="ar-SA"/>
              </w:rPr>
            </w:pPr>
            <w:r>
              <w:rPr>
                <w:rFonts w:ascii="Arial" w:hAnsi="Arial" w:eastAsia="PMingLiU" w:cs="Times New Roman"/>
                <w:b/>
                <w:sz w:val="18"/>
                <w:lang w:val="en-US" w:eastAsia="en-GB" w:bidi="ar-SA"/>
              </w:rPr>
              <w:t>MHz</w:t>
            </w:r>
            <w:r>
              <w:rPr>
                <w:rFonts w:ascii="Arial" w:hAnsi="Arial" w:eastAsia="PMingLiU" w:cs="Times New Roman"/>
                <w:b/>
                <w:sz w:val="18"/>
                <w:lang w:val="en-US" w:eastAsia="en-GB" w:bidi="ar-SA"/>
              </w:rPr>
              <w:br w:type="textWrapping"/>
            </w:r>
            <w:r>
              <w:rPr>
                <w:rFonts w:ascii="Arial" w:hAnsi="Arial" w:eastAsia="PMingLiU" w:cs="Times New Roman"/>
                <w:b/>
                <w:sz w:val="18"/>
                <w:lang w:val="en-US" w:eastAsia="en-GB"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b/>
                <w:sz w:val="18"/>
                <w:lang w:val="en-GB" w:eastAsia="en-US" w:bidi="ar-SA"/>
              </w:rPr>
            </w:pPr>
            <w:r>
              <w:rPr>
                <w:rFonts w:ascii="Arial" w:hAnsi="Arial" w:eastAsia="PMingLiU" w:cs="Times New Roman"/>
                <w:b/>
                <w:sz w:val="18"/>
                <w:lang w:val="en-GB" w:eastAsia="en-US" w:bidi="ar-SA"/>
              </w:rPr>
              <w:t>5</w:t>
            </w:r>
          </w:p>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b/>
                <w:sz w:val="18"/>
                <w:lang w:val="en-GB" w:eastAsia="en-US" w:bidi="ar-SA"/>
              </w:rPr>
            </w:pPr>
            <w:r>
              <w:rPr>
                <w:rFonts w:ascii="Arial" w:hAnsi="Arial" w:eastAsia="PMingLiU" w:cs="Times New Roman"/>
                <w:b/>
                <w:sz w:val="18"/>
                <w:lang w:val="en-GB" w:eastAsia="en-US" w:bidi="ar-SA"/>
              </w:rPr>
              <w:t>MHz</w:t>
            </w:r>
            <w:r>
              <w:rPr>
                <w:rFonts w:ascii="Arial" w:hAnsi="Arial" w:eastAsia="PMingLiU" w:cs="Times New Roman"/>
                <w:b/>
                <w:sz w:val="18"/>
                <w:lang w:val="en-GB" w:eastAsia="en-US" w:bidi="ar-SA"/>
              </w:rPr>
              <w:br w:type="textWrapping"/>
            </w:r>
            <w:r>
              <w:rPr>
                <w:rFonts w:ascii="Arial" w:hAnsi="Arial" w:eastAsia="PMingLiU" w:cs="Times New Roman"/>
                <w:b/>
                <w:sz w:val="18"/>
                <w:lang w:val="en-GB" w:eastAsia="en-US" w:bidi="ar-SA"/>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b/>
                <w:sz w:val="18"/>
                <w:lang w:val="en-GB" w:eastAsia="en-US" w:bidi="ar-SA"/>
              </w:rPr>
            </w:pPr>
            <w:r>
              <w:rPr>
                <w:rFonts w:ascii="Arial" w:hAnsi="Arial" w:eastAsia="PMingLiU" w:cs="Times New Roman"/>
                <w:b/>
                <w:sz w:val="18"/>
                <w:lang w:val="en-GB" w:eastAsia="en-US" w:bidi="ar-SA"/>
              </w:rPr>
              <w:t>10</w:t>
            </w:r>
          </w:p>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b/>
                <w:sz w:val="18"/>
                <w:lang w:val="en-GB" w:eastAsia="en-US" w:bidi="ar-SA"/>
              </w:rPr>
            </w:pPr>
            <w:r>
              <w:rPr>
                <w:rFonts w:ascii="Arial" w:hAnsi="Arial" w:eastAsia="PMingLiU" w:cs="Times New Roman"/>
                <w:b/>
                <w:sz w:val="18"/>
                <w:lang w:val="en-GB" w:eastAsia="en-US" w:bidi="ar-SA"/>
              </w:rPr>
              <w:t>MHz</w:t>
            </w:r>
            <w:r>
              <w:rPr>
                <w:rFonts w:ascii="Arial" w:hAnsi="Arial" w:eastAsia="PMingLiU" w:cs="Times New Roman"/>
                <w:b/>
                <w:sz w:val="18"/>
                <w:lang w:val="en-GB" w:eastAsia="en-US" w:bidi="ar-SA"/>
              </w:rPr>
              <w:br w:type="textWrapping"/>
            </w:r>
            <w:r>
              <w:rPr>
                <w:rFonts w:ascii="Arial" w:hAnsi="Arial" w:eastAsia="PMingLiU" w:cs="Times New Roman"/>
                <w:b/>
                <w:sz w:val="18"/>
                <w:lang w:val="en-GB" w:eastAsia="en-US"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b/>
                <w:sz w:val="18"/>
                <w:lang w:val="en-GB" w:eastAsia="en-US" w:bidi="ar-SA"/>
              </w:rPr>
            </w:pPr>
            <w:r>
              <w:rPr>
                <w:rFonts w:ascii="Arial" w:hAnsi="Arial" w:eastAsia="PMingLiU" w:cs="Times New Roman"/>
                <w:b/>
                <w:sz w:val="18"/>
                <w:lang w:val="en-GB" w:eastAsia="en-US" w:bidi="ar-SA"/>
              </w:rPr>
              <w:t>15</w:t>
            </w:r>
          </w:p>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b/>
                <w:sz w:val="18"/>
                <w:lang w:val="en-GB" w:eastAsia="en-US" w:bidi="ar-SA"/>
              </w:rPr>
            </w:pPr>
            <w:r>
              <w:rPr>
                <w:rFonts w:ascii="Arial" w:hAnsi="Arial" w:eastAsia="PMingLiU" w:cs="Times New Roman"/>
                <w:b/>
                <w:sz w:val="18"/>
                <w:lang w:val="en-GB" w:eastAsia="en-US" w:bidi="ar-SA"/>
              </w:rPr>
              <w:t>MHz</w:t>
            </w:r>
            <w:r>
              <w:rPr>
                <w:rFonts w:ascii="Arial" w:hAnsi="Arial" w:eastAsia="PMingLiU" w:cs="Times New Roman"/>
                <w:b/>
                <w:sz w:val="18"/>
                <w:lang w:val="en-GB" w:eastAsia="en-US" w:bidi="ar-SA"/>
              </w:rPr>
              <w:br w:type="textWrapping"/>
            </w:r>
            <w:r>
              <w:rPr>
                <w:rFonts w:ascii="Arial" w:hAnsi="Arial" w:eastAsia="PMingLiU" w:cs="Times New Roman"/>
                <w:b/>
                <w:sz w:val="18"/>
                <w:lang w:val="en-GB" w:eastAsia="en-US"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b/>
                <w:sz w:val="18"/>
                <w:lang w:val="en-GB" w:eastAsia="en-US" w:bidi="ar-SA"/>
              </w:rPr>
            </w:pPr>
            <w:r>
              <w:rPr>
                <w:rFonts w:ascii="Arial" w:hAnsi="Arial" w:eastAsia="PMingLiU" w:cs="Times New Roman"/>
                <w:b/>
                <w:sz w:val="18"/>
                <w:lang w:val="en-GB" w:eastAsia="en-US" w:bidi="ar-SA"/>
              </w:rPr>
              <w:t>20</w:t>
            </w:r>
          </w:p>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b/>
                <w:sz w:val="18"/>
                <w:lang w:val="en-GB" w:eastAsia="en-US" w:bidi="ar-SA"/>
              </w:rPr>
            </w:pPr>
            <w:r>
              <w:rPr>
                <w:rFonts w:ascii="Arial" w:hAnsi="Arial" w:eastAsia="PMingLiU" w:cs="Times New Roman"/>
                <w:b/>
                <w:sz w:val="18"/>
                <w:lang w:val="en-GB" w:eastAsia="en-US" w:bidi="ar-SA"/>
              </w:rPr>
              <w:t>MHz</w:t>
            </w:r>
            <w:r>
              <w:rPr>
                <w:rFonts w:ascii="Arial" w:hAnsi="Arial" w:eastAsia="PMingLiU" w:cs="Times New Roman"/>
                <w:b/>
                <w:sz w:val="18"/>
                <w:lang w:val="en-GB" w:eastAsia="en-US" w:bidi="ar-SA"/>
              </w:rPr>
              <w:br w:type="textWrapping"/>
            </w:r>
            <w:r>
              <w:rPr>
                <w:rFonts w:ascii="Arial" w:hAnsi="Arial" w:eastAsia="PMingLiU" w:cs="Times New Roman"/>
                <w:b/>
                <w:sz w:val="18"/>
                <w:lang w:val="en-GB" w:eastAsia="en-US" w:bidi="ar-SA"/>
              </w:rPr>
              <w:t>(dB)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b/>
                <w:sz w:val="18"/>
                <w:lang w:val="en-GB" w:eastAsia="en-US" w:bidi="ar-SA"/>
              </w:rPr>
            </w:pPr>
            <w:r>
              <w:rPr>
                <w:rFonts w:ascii="Arial" w:hAnsi="Arial" w:eastAsia="PMingLiU" w:cs="Times New Roman"/>
                <w:b/>
                <w:sz w:val="18"/>
                <w:lang w:val="en-GB" w:eastAsia="en-US" w:bidi="ar-SA"/>
              </w:rPr>
              <w:t>25</w:t>
            </w:r>
          </w:p>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b/>
                <w:sz w:val="18"/>
                <w:lang w:val="en-GB" w:eastAsia="en-US" w:bidi="ar-SA"/>
              </w:rPr>
            </w:pPr>
            <w:r>
              <w:rPr>
                <w:rFonts w:ascii="Arial" w:hAnsi="Arial" w:eastAsia="PMingLiU" w:cs="Times New Roman"/>
                <w:b/>
                <w:sz w:val="18"/>
                <w:lang w:val="en-GB" w:eastAsia="en-US" w:bidi="ar-SA"/>
              </w:rPr>
              <w:t>MHz</w:t>
            </w:r>
            <w:r>
              <w:rPr>
                <w:rFonts w:ascii="Arial" w:hAnsi="Arial" w:eastAsia="PMingLiU" w:cs="Times New Roman"/>
                <w:b/>
                <w:sz w:val="18"/>
                <w:lang w:val="en-GB" w:eastAsia="en-US" w:bidi="ar-SA"/>
              </w:rPr>
              <w:br w:type="textWrapping"/>
            </w:r>
            <w:r>
              <w:rPr>
                <w:rFonts w:ascii="Arial" w:hAnsi="Arial" w:eastAsia="PMingLiU" w:cs="Times New Roman"/>
                <w:b/>
                <w:sz w:val="18"/>
                <w:lang w:val="en-GB" w:eastAsia="en-US"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b/>
                <w:sz w:val="18"/>
                <w:lang w:val="en-GB" w:eastAsia="en-US" w:bidi="ar-SA"/>
              </w:rPr>
            </w:pPr>
            <w:r>
              <w:rPr>
                <w:rFonts w:ascii="Arial" w:hAnsi="Arial" w:eastAsia="PMingLiU" w:cs="Times New Roman"/>
                <w:b/>
                <w:sz w:val="18"/>
                <w:lang w:val="en-GB" w:eastAsia="en-US" w:bidi="ar-SA"/>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b/>
                <w:sz w:val="18"/>
                <w:lang w:val="en-GB" w:eastAsia="en-US" w:bidi="ar-SA"/>
              </w:rPr>
            </w:pPr>
            <w:r>
              <w:rPr>
                <w:rFonts w:ascii="Arial" w:hAnsi="Arial" w:eastAsia="PMingLiU" w:cs="Times New Roman"/>
                <w:b/>
                <w:sz w:val="18"/>
                <w:lang w:val="en-GB" w:eastAsia="en-US" w:bidi="ar-SA"/>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b/>
                <w:sz w:val="18"/>
                <w:lang w:val="en-GB" w:eastAsia="en-US" w:bidi="ar-SA"/>
              </w:rPr>
            </w:pPr>
            <w:r>
              <w:rPr>
                <w:rFonts w:ascii="Arial" w:hAnsi="Arial" w:eastAsia="PMingLiU" w:cs="Times New Roman"/>
                <w:b/>
                <w:sz w:val="18"/>
                <w:lang w:val="en-GB" w:eastAsia="en-US" w:bidi="ar-SA"/>
              </w:rPr>
              <w:t>40</w:t>
            </w:r>
          </w:p>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b/>
                <w:sz w:val="18"/>
                <w:lang w:val="en-GB" w:eastAsia="en-US" w:bidi="ar-SA"/>
              </w:rPr>
            </w:pPr>
            <w:r>
              <w:rPr>
                <w:rFonts w:ascii="Arial" w:hAnsi="Arial" w:eastAsia="PMingLiU" w:cs="Times New Roman"/>
                <w:b/>
                <w:sz w:val="18"/>
                <w:lang w:val="en-GB" w:eastAsia="en-US" w:bidi="ar-SA"/>
              </w:rPr>
              <w:t>MHz</w:t>
            </w:r>
            <w:r>
              <w:rPr>
                <w:rFonts w:ascii="Arial" w:hAnsi="Arial" w:eastAsia="PMingLiU" w:cs="Times New Roman"/>
                <w:b/>
                <w:sz w:val="18"/>
                <w:lang w:val="en-GB" w:eastAsia="en-US" w:bidi="ar-SA"/>
              </w:rPr>
              <w:br w:type="textWrapping"/>
            </w:r>
            <w:r>
              <w:rPr>
                <w:rFonts w:ascii="Arial" w:hAnsi="Arial" w:eastAsia="PMingLiU" w:cs="Times New Roman"/>
                <w:b/>
                <w:sz w:val="18"/>
                <w:lang w:val="en-GB" w:eastAsia="en-US" w:bidi="ar-SA"/>
              </w:rPr>
              <w:t>(dB)</w:t>
            </w:r>
          </w:p>
        </w:tc>
        <w:tc>
          <w:tcPr>
            <w:tcW w:w="741"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b/>
                <w:sz w:val="18"/>
                <w:lang w:val="en-GB" w:eastAsia="en-US" w:bidi="ar-SA"/>
              </w:rPr>
            </w:pPr>
            <w:r>
              <w:rPr>
                <w:rFonts w:ascii="Arial" w:hAnsi="Arial" w:eastAsia="PMingLiU" w:cs="Times New Roman"/>
                <w:b/>
                <w:sz w:val="18"/>
                <w:lang w:val="en-GB" w:eastAsia="en-US" w:bidi="ar-SA"/>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b/>
                <w:sz w:val="18"/>
                <w:lang w:val="en-GB" w:eastAsia="en-US" w:bidi="ar-SA"/>
              </w:rPr>
            </w:pPr>
            <w:r>
              <w:rPr>
                <w:rFonts w:ascii="Arial" w:hAnsi="Arial" w:eastAsia="PMingLiU" w:cs="Times New Roman"/>
                <w:b/>
                <w:sz w:val="18"/>
                <w:lang w:val="en-GB" w:eastAsia="en-US" w:bidi="ar-SA"/>
              </w:rPr>
              <w:t>50</w:t>
            </w:r>
          </w:p>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b/>
                <w:sz w:val="18"/>
                <w:lang w:val="en-GB" w:eastAsia="en-US" w:bidi="ar-SA"/>
              </w:rPr>
            </w:pPr>
            <w:r>
              <w:rPr>
                <w:rFonts w:ascii="Arial" w:hAnsi="Arial" w:eastAsia="PMingLiU" w:cs="Times New Roman"/>
                <w:b/>
                <w:sz w:val="18"/>
                <w:lang w:val="en-GB" w:eastAsia="en-US" w:bidi="ar-SA"/>
              </w:rPr>
              <w:t>MHz</w:t>
            </w:r>
            <w:r>
              <w:rPr>
                <w:rFonts w:ascii="Arial" w:hAnsi="Arial" w:eastAsia="PMingLiU" w:cs="Times New Roman"/>
                <w:b/>
                <w:sz w:val="18"/>
                <w:lang w:val="en-GB" w:eastAsia="en-US" w:bidi="ar-SA"/>
              </w:rPr>
              <w:br w:type="textWrapping"/>
            </w:r>
            <w:r>
              <w:rPr>
                <w:rFonts w:ascii="Arial" w:hAnsi="Arial" w:eastAsia="PMingLiU" w:cs="Times New Roman"/>
                <w:b/>
                <w:sz w:val="18"/>
                <w:lang w:val="en-GB" w:eastAsia="en-US" w:bidi="ar-SA"/>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Arial"/>
                <w:szCs w:val="20"/>
                <w:lang w:val="en-GB"/>
              </w:rPr>
            </w:pPr>
            <w:r>
              <w:rPr>
                <w:rFonts w:ascii="Arial" w:hAnsi="Arial" w:eastAsia="PMingLiU" w:cs="Arial"/>
                <w:szCs w:val="20"/>
                <w:lang w:val="en-GB"/>
              </w:rPr>
              <w:t>n1</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sz w:val="18"/>
                <w:lang w:val="en-GB" w:eastAsia="en-US"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sz w:val="18"/>
                <w:lang w:val="en-GB" w:eastAsia="en-US" w:bidi="ar-SA"/>
              </w:rPr>
            </w:pPr>
            <w:r>
              <w:rPr>
                <w:rFonts w:ascii="Arial" w:hAnsi="Arial" w:eastAsia="PMingLiU" w:cs="Times New Roman"/>
                <w:sz w:val="18"/>
                <w:lang w:val="en-GB" w:eastAsia="en-US"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sz w:val="18"/>
                <w:lang w:val="en-GB" w:eastAsia="en-US" w:bidi="ar-SA"/>
              </w:rPr>
            </w:pPr>
            <w:r>
              <w:rPr>
                <w:rFonts w:ascii="Arial" w:hAnsi="Arial" w:eastAsia="PMingLiU" w:cs="Times New Roman"/>
                <w:sz w:val="18"/>
                <w:lang w:val="en-GB" w:eastAsia="en-US"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sz w:val="18"/>
                <w:lang w:val="en-GB" w:eastAsia="en-US" w:bidi="ar-SA"/>
              </w:rPr>
            </w:pPr>
            <w:r>
              <w:rPr>
                <w:rFonts w:ascii="Arial" w:hAnsi="Arial" w:eastAsia="PMingLiU" w:cs="Times New Roman"/>
                <w:sz w:val="18"/>
                <w:lang w:val="en-GB" w:eastAsia="en-US"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sz w:val="18"/>
                <w:lang w:val="en-GB" w:eastAsia="en-US" w:bidi="ar-SA"/>
              </w:rPr>
            </w:pPr>
            <w:r>
              <w:rPr>
                <w:rFonts w:ascii="Arial" w:hAnsi="Arial" w:eastAsia="PMingLiU" w:cs="Times New Roman"/>
                <w:sz w:val="18"/>
                <w:lang w:val="en-GB" w:eastAsia="en-US" w:bidi="ar-SA"/>
              </w:rPr>
              <w:t>0</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sz w:val="18"/>
                <w:lang w:val="en-GB" w:eastAsia="en-US" w:bidi="ar-SA"/>
              </w:rPr>
            </w:pPr>
            <w:r>
              <w:rPr>
                <w:rFonts w:ascii="Arial" w:hAnsi="Arial" w:eastAsia="PMingLiU" w:cs="Times New Roman"/>
                <w:sz w:val="18"/>
                <w:lang w:val="en-GB" w:eastAsia="en-US"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sz w:val="18"/>
                <w:lang w:val="en-GB" w:eastAsia="en-US" w:bidi="ar-SA"/>
              </w:rPr>
            </w:pPr>
            <w:r>
              <w:rPr>
                <w:rFonts w:ascii="Arial" w:hAnsi="Arial" w:eastAsia="PMingLiU" w:cs="Times New Roman"/>
                <w:sz w:val="18"/>
                <w:lang w:val="en-GB" w:eastAsia="en-US"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sz w:val="18"/>
                <w:lang w:val="en-GB" w:eastAsia="en-US" w:bidi="ar-SA"/>
              </w:rPr>
            </w:pPr>
            <w:r>
              <w:rPr>
                <w:rFonts w:ascii="Arial" w:hAnsi="Arial" w:eastAsia="PMingLiU" w:cs="Times New Roman"/>
                <w:sz w:val="18"/>
                <w:lang w:val="en-GB" w:eastAsia="en-US" w:bidi="ar-SA"/>
              </w:rPr>
              <w:t>-</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sz w:val="18"/>
                <w:lang w:val="en-GB" w:eastAsia="en-US" w:bidi="ar-SA"/>
              </w:rPr>
            </w:pPr>
            <w:r>
              <w:rPr>
                <w:rFonts w:ascii="Arial" w:hAnsi="Arial" w:eastAsia="PMingLiU" w:cs="Times New Roman"/>
                <w:sz w:val="18"/>
                <w:lang w:val="en-GB" w:eastAsia="en-US" w:bidi="ar-SA"/>
              </w:rPr>
              <w:t>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sz w:val="18"/>
                <w:lang w:val="en-GB" w:eastAsia="en-US" w:bidi="ar-SA"/>
              </w:rPr>
            </w:pPr>
            <w:r>
              <w:rPr>
                <w:rFonts w:ascii="Arial" w:hAnsi="Arial" w:eastAsia="PMingLiU" w:cs="Times New Roman"/>
                <w:sz w:val="18"/>
                <w:lang w:val="en-GB" w:eastAsia="en-US" w:bidi="ar-SA"/>
              </w:rPr>
              <w:t>0</w:t>
            </w: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sz w:val="18"/>
                <w:lang w:val="en-GB" w:eastAsia="en-US" w:bidi="ar-SA"/>
              </w:rPr>
            </w:pPr>
            <w:r>
              <w:rPr>
                <w:rFonts w:ascii="Arial" w:hAnsi="Arial" w:eastAsia="PMingLiU" w:cs="Times New Roman"/>
                <w:sz w:val="18"/>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sz w:val="18"/>
                <w:lang w:val="en-GB" w:eastAsia="en-US" w:bidi="ar-SA"/>
              </w:rPr>
            </w:pPr>
            <w:r>
              <w:rPr>
                <w:rFonts w:ascii="Arial" w:hAnsi="Arial" w:eastAsia="PMingLiU" w:cs="Times New Roman"/>
                <w:sz w:val="18"/>
                <w:lang w:val="en-GB" w:eastAsia="en-US" w:bidi="ar-SA"/>
              </w:rPr>
              <w:t>n25</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宋体" w:cs="Times New Roman"/>
                <w:sz w:val="18"/>
                <w:lang w:val="en-GB" w:eastAsia="zh-CN" w:bidi="ar-SA"/>
              </w:rPr>
            </w:pP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宋体" w:cs="Times New Roman"/>
                <w:sz w:val="18"/>
                <w:lang w:val="en-GB" w:eastAsia="zh-CN" w:bidi="ar-SA"/>
              </w:rPr>
            </w:pPr>
            <w:r>
              <w:rPr>
                <w:rFonts w:hint="eastAsia" w:ascii="Arial" w:hAnsi="Arial" w:eastAsia="宋体" w:cs="Times New Roman"/>
                <w:sz w:val="18"/>
                <w:lang w:val="en-GB" w:eastAsia="zh-CN" w:bidi="ar-SA"/>
              </w:rPr>
              <w:t>1.5</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宋体" w:cs="Times New Roman"/>
                <w:sz w:val="18"/>
                <w:lang w:val="en-GB" w:eastAsia="zh-CN" w:bidi="ar-SA"/>
              </w:rPr>
            </w:pPr>
            <w:r>
              <w:rPr>
                <w:rFonts w:hint="eastAsia" w:ascii="Arial" w:hAnsi="Arial" w:eastAsia="宋体" w:cs="Times New Roman"/>
                <w:sz w:val="18"/>
                <w:lang w:val="en-GB" w:eastAsia="zh-CN" w:bidi="ar-SA"/>
              </w:rPr>
              <w:t>1.5</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宋体" w:cs="Times New Roman"/>
                <w:sz w:val="18"/>
                <w:lang w:val="en-GB" w:eastAsia="zh-CN" w:bidi="ar-SA"/>
              </w:rPr>
            </w:pPr>
            <w:r>
              <w:rPr>
                <w:rFonts w:hint="eastAsia" w:ascii="Arial" w:hAnsi="Arial" w:eastAsia="宋体" w:cs="Times New Roman"/>
                <w:sz w:val="18"/>
                <w:lang w:val="en-GB" w:eastAsia="zh-CN" w:bidi="ar-SA"/>
              </w:rPr>
              <w:t>1.6</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宋体" w:cs="Times New Roman"/>
                <w:sz w:val="18"/>
                <w:lang w:val="en-GB" w:eastAsia="zh-CN" w:bidi="ar-SA"/>
              </w:rPr>
            </w:pPr>
            <w:r>
              <w:rPr>
                <w:rFonts w:hint="eastAsia" w:ascii="Arial" w:hAnsi="Arial" w:eastAsia="宋体" w:cs="Times New Roman"/>
                <w:sz w:val="18"/>
                <w:lang w:val="en-GB" w:eastAsia="zh-CN" w:bidi="ar-SA"/>
              </w:rPr>
              <w:t>1.6</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宋体" w:cs="Times New Roman"/>
                <w:sz w:val="18"/>
                <w:lang w:val="en-GB" w:eastAsia="zh-CN" w:bidi="ar-SA"/>
              </w:rPr>
            </w:pPr>
            <w:r>
              <w:rPr>
                <w:rFonts w:hint="eastAsia" w:ascii="Arial" w:hAnsi="Arial" w:eastAsia="宋体" w:cs="Times New Roman"/>
                <w:sz w:val="18"/>
                <w:lang w:val="en-GB" w:eastAsia="zh-CN" w:bidi="ar-SA"/>
              </w:rPr>
              <w:t>1.7</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宋体" w:cs="Times New Roman"/>
                <w:sz w:val="18"/>
                <w:lang w:val="en-GB" w:eastAsia="zh-CN" w:bidi="ar-SA"/>
              </w:rPr>
            </w:pPr>
            <w:r>
              <w:rPr>
                <w:rFonts w:hint="eastAsia" w:ascii="Arial" w:hAnsi="Arial" w:eastAsia="宋体" w:cs="Times New Roman"/>
                <w:sz w:val="18"/>
                <w:lang w:val="en-GB" w:eastAsia="zh-CN" w:bidi="ar-SA"/>
              </w:rPr>
              <w:t>6.0</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宋体" w:cs="Times New Roman"/>
                <w:sz w:val="18"/>
                <w:lang w:val="en-GB" w:eastAsia="zh-CN" w:bidi="ar-SA"/>
              </w:rPr>
            </w:pPr>
            <w:r>
              <w:rPr>
                <w:rFonts w:hint="eastAsia" w:ascii="Arial" w:hAnsi="Arial" w:eastAsia="宋体" w:cs="Times New Roman"/>
                <w:sz w:val="18"/>
                <w:lang w:val="en-GB" w:eastAsia="zh-CN" w:bidi="ar-SA"/>
              </w:rPr>
              <w:t>6.2</w:t>
            </w:r>
          </w:p>
        </w:tc>
        <w:tc>
          <w:tcPr>
            <w:tcW w:w="740"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宋体" w:cs="Times New Roman"/>
                <w:sz w:val="18"/>
                <w:lang w:val="en-GB" w:eastAsia="zh-CN" w:bidi="ar-SA"/>
              </w:rPr>
            </w:pPr>
            <w:r>
              <w:rPr>
                <w:rFonts w:hint="eastAsia" w:ascii="Arial" w:hAnsi="Arial" w:eastAsia="宋体" w:cs="Times New Roman"/>
                <w:sz w:val="18"/>
                <w:lang w:val="en-GB" w:eastAsia="zh-CN" w:bidi="ar-SA"/>
              </w:rPr>
              <w:t>6.7</w:t>
            </w:r>
          </w:p>
        </w:tc>
        <w:tc>
          <w:tcPr>
            <w:tcW w:w="741"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宋体" w:cs="Times New Roman"/>
                <w:sz w:val="18"/>
                <w:lang w:val="en-GB" w:eastAsia="zh-CN" w:bidi="ar-SA"/>
              </w:rPr>
            </w:pPr>
            <w:r>
              <w:rPr>
                <w:rFonts w:hint="eastAsia" w:ascii="Arial" w:hAnsi="Arial" w:eastAsia="宋体" w:cs="Times New Roman"/>
                <w:sz w:val="18"/>
                <w:lang w:val="en-GB" w:eastAsia="zh-CN" w:bidi="ar-SA"/>
              </w:rPr>
              <w:t>7.1</w:t>
            </w:r>
          </w:p>
        </w:tc>
        <w:tc>
          <w:tcPr>
            <w:tcW w:w="814"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val="0"/>
              <w:topLinePunct w:val="0"/>
              <w:autoSpaceDE w:val="0"/>
              <w:autoSpaceDN w:val="0"/>
              <w:bidi w:val="0"/>
              <w:adjustRightInd w:val="0"/>
              <w:snapToGrid w:val="0"/>
              <w:spacing w:before="60" w:after="60" w:line="240" w:lineRule="auto"/>
              <w:jc w:val="center"/>
              <w:textAlignment w:val="baseline"/>
              <w:rPr>
                <w:rFonts w:ascii="Arial" w:hAnsi="Arial" w:eastAsia="PMingLiU" w:cs="Times New Roman"/>
                <w:sz w:val="18"/>
                <w:lang w:val="en-GB" w:eastAsia="en-US" w:bidi="ar-SA"/>
              </w:rPr>
            </w:pPr>
          </w:p>
        </w:tc>
      </w:tr>
    </w:tbl>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It can be found that 0dB RSD is defined for n1 due to large Tx-Rx frequency range. Therefore, for PC1.5 2Tx UE in band n1, it could be foreseen the RSD=0dB for band n1 due to large Tx-Rx frequency range. For band n25, it can be further discussed. </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In addition to that, with our experience in the past, there will be more new FDD bands introduced in the spec to support PC1.5 2Tx. It was a time-consuming work in terms of the PC2 2Tx FDD discussion in Rel-18/19. Thus to learn a lesson from PC2 2Tx FDD, we think it would be better to come up with a general approach to defined the RSD requirements from PC3 to PC1.5.</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Thus we have the following proposals:</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8: It is proposed that RSD=0 dB </w:t>
      </w:r>
      <w:r>
        <w:rPr>
          <w:rFonts w:eastAsia="PMingLiU"/>
          <w:b/>
          <w:bCs/>
        </w:rPr>
        <w:t>from PC3 to PC</w:t>
      </w:r>
      <w:r>
        <w:rPr>
          <w:rFonts w:hint="eastAsia" w:eastAsia="宋体"/>
          <w:b/>
          <w:bCs/>
          <w:lang w:val="en-US" w:eastAsia="zh-CN"/>
        </w:rPr>
        <w:t>1.5</w:t>
      </w:r>
      <w:r>
        <w:rPr>
          <w:rFonts w:hint="eastAsia" w:eastAsia="宋体"/>
          <w:lang w:val="en-US" w:eastAsia="zh-CN"/>
        </w:rPr>
        <w:t xml:space="preserve"> </w:t>
      </w:r>
      <w:r>
        <w:rPr>
          <w:rFonts w:hint="eastAsia" w:cs="Times New Roman"/>
          <w:b/>
          <w:bCs/>
          <w:i w:val="0"/>
          <w:iCs w:val="0"/>
          <w:sz w:val="20"/>
          <w:szCs w:val="20"/>
          <w:highlight w:val="none"/>
          <w:lang w:val="en-US" w:eastAsia="zh-CN"/>
        </w:rPr>
        <w:t>for PC1.5 2Tx FDD band n1.</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9: It is proposed to study a general approach to defined the RSD requirements from PC3 to PC1.5 for all PC1.5 2Tx FDD bands.</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val="0"/>
          <w:bCs w:val="0"/>
          <w:i w:val="0"/>
          <w:iCs w:val="0"/>
          <w:sz w:val="20"/>
          <w:szCs w:val="20"/>
          <w:highlight w:val="none"/>
          <w:lang w:val="en-US" w:eastAsia="zh-CN"/>
        </w:rPr>
      </w:pPr>
    </w:p>
    <w:p>
      <w:pPr>
        <w:pStyle w:val="2"/>
        <w:keepNext/>
        <w:keepLines/>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u w:val="single"/>
          <w:vertAlign w:val="baseline"/>
          <w:lang w:val="en-US" w:eastAsia="zh-CN"/>
        </w:rPr>
      </w:pPr>
      <w:r>
        <w:rPr>
          <w:rFonts w:hint="eastAsia"/>
          <w:b/>
          <w:bCs w:val="0"/>
          <w:i w:val="0"/>
          <w:iCs w:val="0"/>
          <w:color w:val="auto"/>
          <w:kern w:val="0"/>
          <w:sz w:val="20"/>
          <w:szCs w:val="20"/>
          <w:highlight w:val="none"/>
          <w:u w:val="single"/>
          <w:vertAlign w:val="baseline"/>
          <w:lang w:val="en-US" w:eastAsia="zh-CN"/>
        </w:rPr>
        <w:t>Observations:</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b/>
          <w:bCs/>
          <w:sz w:val="20"/>
          <w:szCs w:val="20"/>
          <w:lang w:val="en-US" w:eastAsia="zh-CN"/>
        </w:rPr>
      </w:pPr>
      <w:r>
        <w:rPr>
          <w:rFonts w:hint="eastAsia" w:eastAsia="宋体" w:cs="Times New Roman"/>
          <w:b/>
          <w:bCs/>
          <w:sz w:val="20"/>
          <w:szCs w:val="20"/>
          <w:lang w:val="en-US" w:eastAsia="zh-CN"/>
        </w:rPr>
        <w:t>Observation 1. Reusing legacy PC1 ans introducing a new power class will cause different workload in RAN4. The RF requirements discussion would largely depend on which power class is adopted.</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b/>
          <w:bCs w:val="0"/>
          <w:i w:val="0"/>
          <w:iCs w:val="0"/>
          <w:color w:val="auto"/>
          <w:kern w:val="0"/>
          <w:sz w:val="20"/>
          <w:szCs w:val="20"/>
          <w:highlight w:val="none"/>
          <w:u w:val="single"/>
          <w:vertAlign w:val="baseline"/>
          <w:lang w:val="en-US" w:eastAsia="zh-CN"/>
        </w:rPr>
      </w:pP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u w:val="single"/>
          <w:vertAlign w:val="baseline"/>
          <w:lang w:val="en-US" w:eastAsia="zh-CN"/>
        </w:rPr>
      </w:pPr>
      <w:r>
        <w:rPr>
          <w:rFonts w:hint="eastAsia"/>
          <w:b/>
          <w:bCs w:val="0"/>
          <w:i w:val="0"/>
          <w:iCs w:val="0"/>
          <w:color w:val="auto"/>
          <w:kern w:val="0"/>
          <w:sz w:val="20"/>
          <w:szCs w:val="20"/>
          <w:highlight w:val="none"/>
          <w:u w:val="single"/>
          <w:vertAlign w:val="baseline"/>
          <w:lang w:val="en-US" w:eastAsia="zh-CN"/>
        </w:rPr>
        <w:t>Proposals for 4x26dBm HPUE</w:t>
      </w:r>
    </w:p>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157" w:afterLines="50" w:line="240" w:lineRule="auto"/>
        <w:ind w:leftChars="0"/>
        <w:jc w:val="left"/>
        <w:textAlignment w:val="auto"/>
        <w:rPr>
          <w:rFonts w:hint="eastAsia" w:eastAsia="宋体" w:cs="Times New Roman"/>
          <w:b/>
          <w:bCs/>
          <w:sz w:val="20"/>
          <w:szCs w:val="20"/>
          <w:lang w:val="en-US" w:eastAsia="zh-CN"/>
        </w:rPr>
      </w:pPr>
      <w:r>
        <w:rPr>
          <w:rFonts w:hint="eastAsia" w:eastAsia="宋体" w:cs="Times New Roman"/>
          <w:b/>
          <w:bCs/>
          <w:sz w:val="20"/>
          <w:szCs w:val="20"/>
          <w:lang w:val="en-US" w:eastAsia="zh-CN"/>
        </w:rPr>
        <w:t>Proposal 1: The requirements of Frequency error, Transmit OFF power, Transmit ON/OFF time mask, Transmit modulation quality, Transmit intermodulation keep unchanged for 4x26dBm PA configurations, regardless of which power class is adopted.</w:t>
      </w:r>
    </w:p>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157" w:afterLines="50" w:line="240" w:lineRule="auto"/>
        <w:ind w:leftChars="0"/>
        <w:jc w:val="left"/>
        <w:textAlignment w:val="auto"/>
        <w:rPr>
          <w:rFonts w:hint="default" w:eastAsia="宋体" w:cs="Times New Roman"/>
          <w:b/>
          <w:bCs/>
          <w:sz w:val="20"/>
          <w:szCs w:val="20"/>
          <w:lang w:val="en-US" w:eastAsia="zh-CN"/>
        </w:rPr>
      </w:pPr>
      <w:r>
        <w:rPr>
          <w:rFonts w:hint="eastAsia" w:eastAsia="宋体" w:cs="Times New Roman"/>
          <w:b/>
          <w:bCs/>
          <w:sz w:val="20"/>
          <w:szCs w:val="20"/>
          <w:lang w:val="en-US" w:eastAsia="zh-CN"/>
        </w:rPr>
        <w:t>Proposal 2: There are no changes for Rx requirements for 4x26dBm PA configurations, regardless of which power class is adopted.</w:t>
      </w:r>
    </w:p>
    <w:p>
      <w:pPr>
        <w:keepNext/>
        <w:keepLines/>
        <w:pageBreakBefore w:val="0"/>
        <w:widowControl/>
        <w:numPr>
          <w:ilvl w:val="0"/>
          <w:numId w:val="0"/>
        </w:numPr>
        <w:suppressLineNumbers w:val="0"/>
        <w:kinsoku/>
        <w:wordWrap/>
        <w:overflowPunct/>
        <w:topLinePunct w:val="0"/>
        <w:autoSpaceDE/>
        <w:autoSpaceDN/>
        <w:bidi w:val="0"/>
        <w:adjustRightInd/>
        <w:snapToGrid w:val="0"/>
        <w:spacing w:before="60" w:after="157" w:afterLines="50" w:line="240" w:lineRule="auto"/>
        <w:ind w:leftChars="0"/>
        <w:jc w:val="left"/>
        <w:textAlignment w:val="auto"/>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Proposal </w:t>
      </w:r>
      <w:r>
        <w:rPr>
          <w:rFonts w:hint="eastAsia" w:eastAsia="宋体" w:cs="Times New Roman"/>
          <w:b/>
          <w:bCs/>
          <w:sz w:val="20"/>
          <w:szCs w:val="20"/>
          <w:lang w:val="en-US" w:eastAsia="zh-CN"/>
        </w:rPr>
        <w:t>3</w:t>
      </w:r>
      <w:r>
        <w:rPr>
          <w:rFonts w:hint="eastAsia" w:ascii="Times New Roman" w:hAnsi="Times New Roman" w:eastAsia="宋体" w:cs="Times New Roman"/>
          <w:b/>
          <w:bCs/>
          <w:sz w:val="20"/>
          <w:szCs w:val="20"/>
          <w:lang w:val="en-US" w:eastAsia="zh-CN"/>
        </w:rPr>
        <w:t xml:space="preserve">: </w:t>
      </w:r>
      <w:r>
        <w:rPr>
          <w:rFonts w:hint="eastAsia" w:eastAsia="宋体" w:cs="Times New Roman"/>
          <w:b/>
          <w:bCs/>
          <w:sz w:val="20"/>
          <w:szCs w:val="20"/>
          <w:lang w:val="en-US" w:eastAsia="zh-CN"/>
        </w:rPr>
        <w:t xml:space="preserve">For the requirements depends on sum of power </w:t>
      </w:r>
      <w:r>
        <w:rPr>
          <w:rFonts w:hint="eastAsia" w:eastAsia="宋体"/>
          <w:b/>
          <w:bCs/>
          <w:szCs w:val="20"/>
          <w:lang w:eastAsia="zh-CN"/>
        </w:rPr>
        <w:t>from all UE transmit antenna connectors</w:t>
      </w:r>
      <w:r>
        <w:rPr>
          <w:rFonts w:hint="eastAsia" w:eastAsia="宋体"/>
          <w:b/>
          <w:bCs/>
          <w:szCs w:val="20"/>
          <w:lang w:val="en-US" w:eastAsia="zh-CN"/>
        </w:rPr>
        <w:t xml:space="preserve">, e.g. </w:t>
      </w:r>
      <w:r>
        <w:rPr>
          <w:rFonts w:hint="eastAsia" w:eastAsia="宋体" w:cs="Times New Roman"/>
          <w:b/>
          <w:bCs/>
          <w:sz w:val="20"/>
          <w:szCs w:val="20"/>
          <w:lang w:val="en-US" w:eastAsia="zh-CN"/>
        </w:rPr>
        <w:t xml:space="preserve">MPR/A-MPR, OOB emission requirements, it should be postponed until </w:t>
      </w:r>
      <w:r>
        <w:rPr>
          <w:rFonts w:hint="eastAsia" w:ascii="Times New Roman" w:hAnsi="Times New Roman" w:eastAsia="宋体" w:cs="Times New Roman"/>
          <w:b/>
          <w:bCs/>
          <w:sz w:val="20"/>
          <w:szCs w:val="20"/>
          <w:lang w:val="en-US" w:eastAsia="zh-CN"/>
        </w:rPr>
        <w:t>RAN4 decides the power class.</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w:t>
      </w:r>
      <w:r>
        <w:rPr>
          <w:rFonts w:hint="eastAsia" w:ascii="Times New Roman" w:hAnsi="Times New Roman" w:cs="Times New Roman"/>
          <w:b/>
          <w:bCs/>
          <w:i w:val="0"/>
          <w:iCs w:val="0"/>
          <w:sz w:val="20"/>
          <w:szCs w:val="20"/>
          <w:highlight w:val="none"/>
          <w:lang w:val="en-US" w:eastAsia="zh-CN"/>
        </w:rPr>
        <w:t xml:space="preserve">al </w:t>
      </w:r>
      <w:r>
        <w:rPr>
          <w:rFonts w:hint="eastAsia" w:cs="Times New Roman"/>
          <w:b/>
          <w:bCs/>
          <w:i w:val="0"/>
          <w:iCs w:val="0"/>
          <w:sz w:val="20"/>
          <w:szCs w:val="20"/>
          <w:highlight w:val="none"/>
          <w:lang w:val="en-US" w:eastAsia="zh-CN"/>
        </w:rPr>
        <w:t>4</w:t>
      </w:r>
      <w:r>
        <w:rPr>
          <w:rFonts w:hint="eastAsia" w:ascii="Times New Roman" w:hAnsi="Times New Roman" w:cs="Times New Roman"/>
          <w:b/>
          <w:bCs/>
          <w:i w:val="0"/>
          <w:iCs w:val="0"/>
          <w:sz w:val="20"/>
          <w:szCs w:val="20"/>
          <w:highlight w:val="none"/>
          <w:lang w:val="en-US" w:eastAsia="zh-CN"/>
        </w:rPr>
        <w:t>: The requirements for TxD can be derived from UL MIMO requirements.</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5: To achieve 31dBm or 32dBm maximum output, only ULFPTx mode-1 is considered.</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bookmarkStart w:id="5" w:name="_GoBack"/>
      <w:bookmarkEnd w:id="5"/>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lang w:val="en-US" w:eastAsia="zh-CN"/>
        </w:rPr>
      </w:pPr>
      <w:r>
        <w:rPr>
          <w:rFonts w:hint="eastAsia"/>
          <w:b/>
          <w:bCs w:val="0"/>
          <w:i w:val="0"/>
          <w:iCs w:val="0"/>
          <w:color w:val="auto"/>
          <w:kern w:val="0"/>
          <w:sz w:val="20"/>
          <w:szCs w:val="20"/>
          <w:highlight w:val="none"/>
          <w:u w:val="single"/>
          <w:vertAlign w:val="baseline"/>
          <w:lang w:val="en-US" w:eastAsia="zh-CN"/>
        </w:rPr>
        <w:t>Proposals for PC1.5 FDD HPUE</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6: The MPR requirements of </w:t>
      </w:r>
      <w:r>
        <w:rPr>
          <w:rFonts w:hint="eastAsia" w:ascii="Times New Roman" w:hAnsi="Times New Roman" w:cs="Times New Roman"/>
          <w:b/>
          <w:bCs/>
          <w:i w:val="0"/>
          <w:iCs w:val="0"/>
          <w:sz w:val="20"/>
          <w:szCs w:val="20"/>
          <w:highlight w:val="none"/>
          <w:lang w:val="en-US" w:eastAsia="zh-CN"/>
        </w:rPr>
        <w:t xml:space="preserve">PC1.5 2Tx requirements for TDD bands can </w:t>
      </w:r>
      <w:r>
        <w:rPr>
          <w:rFonts w:hint="eastAsia" w:cs="Times New Roman"/>
          <w:b/>
          <w:bCs/>
          <w:i w:val="0"/>
          <w:iCs w:val="0"/>
          <w:sz w:val="20"/>
          <w:szCs w:val="20"/>
          <w:highlight w:val="none"/>
          <w:lang w:val="en-US" w:eastAsia="zh-CN"/>
        </w:rPr>
        <w:t xml:space="preserve">be </w:t>
      </w:r>
      <w:r>
        <w:rPr>
          <w:rFonts w:hint="eastAsia" w:ascii="Times New Roman" w:hAnsi="Times New Roman" w:cs="Times New Roman"/>
          <w:b/>
          <w:bCs/>
          <w:i w:val="0"/>
          <w:iCs w:val="0"/>
          <w:sz w:val="20"/>
          <w:szCs w:val="20"/>
          <w:highlight w:val="none"/>
          <w:lang w:val="en-US" w:eastAsia="zh-CN"/>
        </w:rPr>
        <w:t>appl</w:t>
      </w:r>
      <w:r>
        <w:rPr>
          <w:rFonts w:hint="eastAsia" w:cs="Times New Roman"/>
          <w:b/>
          <w:bCs/>
          <w:i w:val="0"/>
          <w:iCs w:val="0"/>
          <w:sz w:val="20"/>
          <w:szCs w:val="20"/>
          <w:highlight w:val="none"/>
          <w:lang w:val="en-US" w:eastAsia="zh-CN"/>
        </w:rPr>
        <w:t>ied</w:t>
      </w:r>
      <w:r>
        <w:rPr>
          <w:rFonts w:hint="eastAsia" w:ascii="Times New Roman" w:hAnsi="Times New Roman" w:cs="Times New Roman"/>
          <w:b/>
          <w:bCs/>
          <w:i w:val="0"/>
          <w:iCs w:val="0"/>
          <w:sz w:val="20"/>
          <w:szCs w:val="20"/>
          <w:highlight w:val="none"/>
          <w:lang w:val="en-US" w:eastAsia="zh-CN"/>
        </w:rPr>
        <w:t xml:space="preserve"> to FDD bands for PC1.5 UE with 2Tx.</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7: A-MPR needs to be discussed for PC1.5 2Tx for FDD bands.</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Proposal 8: It is proposed that RSD=0 dB </w:t>
      </w:r>
      <w:r>
        <w:rPr>
          <w:rFonts w:eastAsia="PMingLiU"/>
          <w:b/>
          <w:bCs/>
        </w:rPr>
        <w:t>from PC3 to PC</w:t>
      </w:r>
      <w:r>
        <w:rPr>
          <w:rFonts w:hint="eastAsia" w:eastAsia="宋体"/>
          <w:b/>
          <w:bCs/>
          <w:lang w:val="en-US" w:eastAsia="zh-CN"/>
        </w:rPr>
        <w:t>1.5</w:t>
      </w:r>
      <w:r>
        <w:rPr>
          <w:rFonts w:hint="eastAsia" w:eastAsia="宋体"/>
          <w:lang w:val="en-US" w:eastAsia="zh-CN"/>
        </w:rPr>
        <w:t xml:space="preserve"> </w:t>
      </w:r>
      <w:r>
        <w:rPr>
          <w:rFonts w:hint="eastAsia" w:cs="Times New Roman"/>
          <w:b/>
          <w:bCs/>
          <w:i w:val="0"/>
          <w:iCs w:val="0"/>
          <w:sz w:val="20"/>
          <w:szCs w:val="20"/>
          <w:highlight w:val="none"/>
          <w:lang w:val="en-US" w:eastAsia="zh-CN"/>
        </w:rPr>
        <w:t>for PC1.5 2Tx FDD band n1.</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9: It is proposed to study a general approach to defined the RSD requirements from PC3 to PC1.5 for all PC1.5 2Tx FDD bands.</w:t>
      </w:r>
    </w:p>
    <w:p>
      <w:pPr>
        <w:pStyle w:val="9"/>
        <w:keepNext/>
        <w:keepLines/>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u w:val="single"/>
          <w:vertAlign w:val="baseline"/>
          <w:lang w:val="en-US" w:eastAsia="zh-CN"/>
        </w:rPr>
      </w:pPr>
    </w:p>
    <w:p>
      <w:pPr>
        <w:pStyle w:val="2"/>
        <w:keepNext/>
        <w:keepLines/>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keepLines/>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RP-252962 New WID: UE RF enhancements for NR FR1, Phase 5, RAN#109, Beijing, CN, Sept. 2025.</w:t>
      </w:r>
    </w:p>
    <w:p>
      <w:pPr>
        <w:pStyle w:val="10"/>
        <w:keepNext/>
        <w:keepLines/>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 xml:space="preserve">R4-25013925 </w:t>
      </w:r>
      <w:r>
        <w:rPr>
          <w:rFonts w:hint="default"/>
          <w:sz w:val="20"/>
          <w:szCs w:val="20"/>
          <w:highlight w:val="none"/>
          <w:lang w:val="en-US" w:eastAsia="zh-CN"/>
        </w:rPr>
        <w:t>Discussion on</w:t>
      </w:r>
      <w:r>
        <w:rPr>
          <w:rFonts w:hint="eastAsia"/>
          <w:sz w:val="20"/>
          <w:szCs w:val="20"/>
          <w:highlight w:val="none"/>
          <w:lang w:val="en-US" w:eastAsia="zh-CN"/>
        </w:rPr>
        <w:t xml:space="preserve"> general aspects for 4Tx HPUE, ZTE, RAN4#116bis, Prague, CZ, Oct. 2025.</w:t>
      </w:r>
    </w:p>
    <w:p>
      <w:pPr>
        <w:keepNext/>
        <w:keepLines/>
        <w:pageBreakBefore w:val="0"/>
        <w:kinsoku/>
        <w:wordWrap/>
        <w:overflowPunct/>
        <w:topLinePunct w:val="0"/>
        <w:autoSpaceDE/>
        <w:autoSpaceDN/>
        <w:bidi w:val="0"/>
        <w:snapToGrid w:val="0"/>
        <w:spacing w:after="157" w:afterLines="50" w:line="240" w:lineRule="auto"/>
        <w:rPr>
          <w:rFonts w:hint="eastAsia"/>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6A3B26"/>
    <w:multiLevelType w:val="singleLevel"/>
    <w:tmpl w:val="D16A3B26"/>
    <w:lvl w:ilvl="0" w:tentative="0">
      <w:start w:val="1"/>
      <w:numFmt w:val="bullet"/>
      <w:lvlText w:val="-"/>
      <w:lvlJc w:val="left"/>
      <w:pPr>
        <w:ind w:left="420" w:leftChars="0" w:hanging="420" w:firstLineChars="0"/>
      </w:pPr>
      <w:rPr>
        <w:rFonts w:hint="default" w:ascii="Arial" w:hAnsi="Arial" w:cs="Arial"/>
      </w:rPr>
    </w:lvl>
  </w:abstractNum>
  <w:abstractNum w:abstractNumId="1">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A61DBB0"/>
    <w:multiLevelType w:val="singleLevel"/>
    <w:tmpl w:val="5A61DBB0"/>
    <w:lvl w:ilvl="0" w:tentative="0">
      <w:start w:val="1"/>
      <w:numFmt w:val="decimal"/>
      <w:suff w:val="space"/>
      <w:lvlText w:val="[%1]"/>
      <w:lvlJc w:val="left"/>
      <w:rPr>
        <w:rFonts w:hint="default"/>
        <w:b w:val="0"/>
        <w:bCs w:val="0"/>
      </w:rPr>
    </w:lvl>
  </w:abstractNum>
  <w:abstractNum w:abstractNumId="5">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2"/>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1D6623"/>
    <w:rsid w:val="013271C3"/>
    <w:rsid w:val="01427401"/>
    <w:rsid w:val="01441CAC"/>
    <w:rsid w:val="0153531E"/>
    <w:rsid w:val="01624027"/>
    <w:rsid w:val="01633D2A"/>
    <w:rsid w:val="0165337E"/>
    <w:rsid w:val="01795E27"/>
    <w:rsid w:val="0180738E"/>
    <w:rsid w:val="018A2647"/>
    <w:rsid w:val="018B3BAA"/>
    <w:rsid w:val="019123EF"/>
    <w:rsid w:val="01945324"/>
    <w:rsid w:val="01957959"/>
    <w:rsid w:val="01A56815"/>
    <w:rsid w:val="01B568B1"/>
    <w:rsid w:val="01BA0053"/>
    <w:rsid w:val="01CA556D"/>
    <w:rsid w:val="01DC1C82"/>
    <w:rsid w:val="01DC200E"/>
    <w:rsid w:val="01EB315E"/>
    <w:rsid w:val="01F86CD9"/>
    <w:rsid w:val="01FF4EDD"/>
    <w:rsid w:val="02065A2E"/>
    <w:rsid w:val="020928F5"/>
    <w:rsid w:val="0217354E"/>
    <w:rsid w:val="021A2217"/>
    <w:rsid w:val="021A5187"/>
    <w:rsid w:val="02281CFD"/>
    <w:rsid w:val="0228598B"/>
    <w:rsid w:val="022931C1"/>
    <w:rsid w:val="02343561"/>
    <w:rsid w:val="023C44BA"/>
    <w:rsid w:val="025B0AD8"/>
    <w:rsid w:val="02626E3D"/>
    <w:rsid w:val="02720145"/>
    <w:rsid w:val="02721826"/>
    <w:rsid w:val="02740574"/>
    <w:rsid w:val="02770E1A"/>
    <w:rsid w:val="028153EF"/>
    <w:rsid w:val="028B68FB"/>
    <w:rsid w:val="028C48C4"/>
    <w:rsid w:val="029048AA"/>
    <w:rsid w:val="0298367A"/>
    <w:rsid w:val="02B86002"/>
    <w:rsid w:val="02C409AE"/>
    <w:rsid w:val="02CA1321"/>
    <w:rsid w:val="02D254EC"/>
    <w:rsid w:val="02D55E01"/>
    <w:rsid w:val="02DE07AA"/>
    <w:rsid w:val="02E43D5D"/>
    <w:rsid w:val="02E569D9"/>
    <w:rsid w:val="02E76972"/>
    <w:rsid w:val="02EF105C"/>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9350B"/>
    <w:rsid w:val="035C5E5E"/>
    <w:rsid w:val="036F028C"/>
    <w:rsid w:val="0383140E"/>
    <w:rsid w:val="038F5D19"/>
    <w:rsid w:val="039E20C7"/>
    <w:rsid w:val="03A05508"/>
    <w:rsid w:val="03AB67DC"/>
    <w:rsid w:val="03AD2FC5"/>
    <w:rsid w:val="03B76035"/>
    <w:rsid w:val="03B82CC7"/>
    <w:rsid w:val="03C77456"/>
    <w:rsid w:val="03C84D9A"/>
    <w:rsid w:val="03CB41C8"/>
    <w:rsid w:val="03DA6915"/>
    <w:rsid w:val="03E4355E"/>
    <w:rsid w:val="03E60C72"/>
    <w:rsid w:val="04144F59"/>
    <w:rsid w:val="04156C27"/>
    <w:rsid w:val="042221BB"/>
    <w:rsid w:val="042B1DF5"/>
    <w:rsid w:val="043D2559"/>
    <w:rsid w:val="044259F2"/>
    <w:rsid w:val="045D198A"/>
    <w:rsid w:val="046824A8"/>
    <w:rsid w:val="0478015E"/>
    <w:rsid w:val="04865F4C"/>
    <w:rsid w:val="0497524C"/>
    <w:rsid w:val="049C47B9"/>
    <w:rsid w:val="04B43FA7"/>
    <w:rsid w:val="04BF26EE"/>
    <w:rsid w:val="04D16755"/>
    <w:rsid w:val="04D20004"/>
    <w:rsid w:val="04D93FA6"/>
    <w:rsid w:val="04E54CF2"/>
    <w:rsid w:val="04EB6A3A"/>
    <w:rsid w:val="04ED62D1"/>
    <w:rsid w:val="04F31B7C"/>
    <w:rsid w:val="04F46C46"/>
    <w:rsid w:val="04FC2C75"/>
    <w:rsid w:val="04FE15F6"/>
    <w:rsid w:val="05053880"/>
    <w:rsid w:val="050F2775"/>
    <w:rsid w:val="05143195"/>
    <w:rsid w:val="0526729B"/>
    <w:rsid w:val="05402104"/>
    <w:rsid w:val="054248F2"/>
    <w:rsid w:val="05492E9A"/>
    <w:rsid w:val="05510DD1"/>
    <w:rsid w:val="05533CBE"/>
    <w:rsid w:val="05785C74"/>
    <w:rsid w:val="05847419"/>
    <w:rsid w:val="0586171E"/>
    <w:rsid w:val="058704DA"/>
    <w:rsid w:val="059160D0"/>
    <w:rsid w:val="05AE018C"/>
    <w:rsid w:val="05B32ECD"/>
    <w:rsid w:val="05D1514D"/>
    <w:rsid w:val="05D41EE2"/>
    <w:rsid w:val="05D423F7"/>
    <w:rsid w:val="05FF0D9C"/>
    <w:rsid w:val="060E0D8F"/>
    <w:rsid w:val="062464D1"/>
    <w:rsid w:val="06285D29"/>
    <w:rsid w:val="062937AB"/>
    <w:rsid w:val="062941CA"/>
    <w:rsid w:val="062A620F"/>
    <w:rsid w:val="063661E5"/>
    <w:rsid w:val="06410604"/>
    <w:rsid w:val="064B00B0"/>
    <w:rsid w:val="065C3A1D"/>
    <w:rsid w:val="065D195A"/>
    <w:rsid w:val="06654A0B"/>
    <w:rsid w:val="06686223"/>
    <w:rsid w:val="066E5BC6"/>
    <w:rsid w:val="06823D8F"/>
    <w:rsid w:val="06863F9A"/>
    <w:rsid w:val="06883FFB"/>
    <w:rsid w:val="068F48CC"/>
    <w:rsid w:val="06923771"/>
    <w:rsid w:val="06A023FD"/>
    <w:rsid w:val="06AE7B81"/>
    <w:rsid w:val="06C11394"/>
    <w:rsid w:val="06C30854"/>
    <w:rsid w:val="06C93669"/>
    <w:rsid w:val="06CC69B4"/>
    <w:rsid w:val="06CD6519"/>
    <w:rsid w:val="06D84A8A"/>
    <w:rsid w:val="06F36A7A"/>
    <w:rsid w:val="070F3D15"/>
    <w:rsid w:val="07122035"/>
    <w:rsid w:val="07171551"/>
    <w:rsid w:val="07214293"/>
    <w:rsid w:val="072144C3"/>
    <w:rsid w:val="0734792D"/>
    <w:rsid w:val="073F3648"/>
    <w:rsid w:val="074757DC"/>
    <w:rsid w:val="07497B28"/>
    <w:rsid w:val="074A5F1C"/>
    <w:rsid w:val="07521F93"/>
    <w:rsid w:val="07622262"/>
    <w:rsid w:val="078B1BCC"/>
    <w:rsid w:val="078F46FE"/>
    <w:rsid w:val="0793078D"/>
    <w:rsid w:val="07970803"/>
    <w:rsid w:val="07A9337A"/>
    <w:rsid w:val="07AB0366"/>
    <w:rsid w:val="07BA2D18"/>
    <w:rsid w:val="07BF78DC"/>
    <w:rsid w:val="07C511AC"/>
    <w:rsid w:val="07C70449"/>
    <w:rsid w:val="07CC6B65"/>
    <w:rsid w:val="07CD3CDD"/>
    <w:rsid w:val="07E96697"/>
    <w:rsid w:val="0818374A"/>
    <w:rsid w:val="08315282"/>
    <w:rsid w:val="085145EC"/>
    <w:rsid w:val="085C2CEC"/>
    <w:rsid w:val="085D2367"/>
    <w:rsid w:val="085E5DBE"/>
    <w:rsid w:val="08721912"/>
    <w:rsid w:val="087B0F4C"/>
    <w:rsid w:val="087C4EF8"/>
    <w:rsid w:val="087F03CF"/>
    <w:rsid w:val="087F3562"/>
    <w:rsid w:val="088467B6"/>
    <w:rsid w:val="089B57AE"/>
    <w:rsid w:val="08A656AD"/>
    <w:rsid w:val="08AD5856"/>
    <w:rsid w:val="08C13553"/>
    <w:rsid w:val="08C3786B"/>
    <w:rsid w:val="08C71DC3"/>
    <w:rsid w:val="08CA745A"/>
    <w:rsid w:val="08D538D0"/>
    <w:rsid w:val="08E3525D"/>
    <w:rsid w:val="08E37BAD"/>
    <w:rsid w:val="08E55413"/>
    <w:rsid w:val="08EE2ED2"/>
    <w:rsid w:val="08F869E1"/>
    <w:rsid w:val="08FB28C9"/>
    <w:rsid w:val="090F5236"/>
    <w:rsid w:val="09133D59"/>
    <w:rsid w:val="0924260A"/>
    <w:rsid w:val="092553BF"/>
    <w:rsid w:val="09294F7D"/>
    <w:rsid w:val="092C61F8"/>
    <w:rsid w:val="09327B1B"/>
    <w:rsid w:val="095C0F0C"/>
    <w:rsid w:val="09617498"/>
    <w:rsid w:val="09646BE3"/>
    <w:rsid w:val="09674661"/>
    <w:rsid w:val="096B2177"/>
    <w:rsid w:val="097E672F"/>
    <w:rsid w:val="09825F02"/>
    <w:rsid w:val="099157DA"/>
    <w:rsid w:val="09A2613C"/>
    <w:rsid w:val="09AB6C45"/>
    <w:rsid w:val="09AF4121"/>
    <w:rsid w:val="09DE671F"/>
    <w:rsid w:val="09E20449"/>
    <w:rsid w:val="09E5085D"/>
    <w:rsid w:val="09FB5325"/>
    <w:rsid w:val="09FC388C"/>
    <w:rsid w:val="0A0F5E0F"/>
    <w:rsid w:val="0A153B05"/>
    <w:rsid w:val="0A2802DC"/>
    <w:rsid w:val="0A4B6F30"/>
    <w:rsid w:val="0A616EBE"/>
    <w:rsid w:val="0A665D1E"/>
    <w:rsid w:val="0A731B50"/>
    <w:rsid w:val="0A7853DD"/>
    <w:rsid w:val="0A8D4756"/>
    <w:rsid w:val="0A8E34E6"/>
    <w:rsid w:val="0AB60DEE"/>
    <w:rsid w:val="0AC9278E"/>
    <w:rsid w:val="0B0C474F"/>
    <w:rsid w:val="0B1A3243"/>
    <w:rsid w:val="0B2E106F"/>
    <w:rsid w:val="0B2F5F6B"/>
    <w:rsid w:val="0B3E5ECD"/>
    <w:rsid w:val="0B3F4A6A"/>
    <w:rsid w:val="0B5459A6"/>
    <w:rsid w:val="0B5950D6"/>
    <w:rsid w:val="0B61638C"/>
    <w:rsid w:val="0B724963"/>
    <w:rsid w:val="0B725220"/>
    <w:rsid w:val="0B7D64C0"/>
    <w:rsid w:val="0B802D0D"/>
    <w:rsid w:val="0B846E46"/>
    <w:rsid w:val="0B8C268A"/>
    <w:rsid w:val="0B8D5FD9"/>
    <w:rsid w:val="0B9641FD"/>
    <w:rsid w:val="0B9A6376"/>
    <w:rsid w:val="0B9C3E91"/>
    <w:rsid w:val="0BBC467A"/>
    <w:rsid w:val="0BC176FB"/>
    <w:rsid w:val="0BD23E81"/>
    <w:rsid w:val="0BF33400"/>
    <w:rsid w:val="0BF37D09"/>
    <w:rsid w:val="0BF41031"/>
    <w:rsid w:val="0BF80469"/>
    <w:rsid w:val="0C0C5682"/>
    <w:rsid w:val="0C1D57F9"/>
    <w:rsid w:val="0C373E6B"/>
    <w:rsid w:val="0C5640FE"/>
    <w:rsid w:val="0C684AC1"/>
    <w:rsid w:val="0C7962B1"/>
    <w:rsid w:val="0C7A666C"/>
    <w:rsid w:val="0C7D5162"/>
    <w:rsid w:val="0C867BFF"/>
    <w:rsid w:val="0C881F1B"/>
    <w:rsid w:val="0C953742"/>
    <w:rsid w:val="0CA242EA"/>
    <w:rsid w:val="0CB10B0C"/>
    <w:rsid w:val="0CB30E04"/>
    <w:rsid w:val="0CB6043F"/>
    <w:rsid w:val="0CC64583"/>
    <w:rsid w:val="0CC66B41"/>
    <w:rsid w:val="0CE077FD"/>
    <w:rsid w:val="0D0E0978"/>
    <w:rsid w:val="0D141518"/>
    <w:rsid w:val="0D1561A4"/>
    <w:rsid w:val="0D225A10"/>
    <w:rsid w:val="0D2706A2"/>
    <w:rsid w:val="0D3B0547"/>
    <w:rsid w:val="0D3B5CCB"/>
    <w:rsid w:val="0D495A0D"/>
    <w:rsid w:val="0D4D2BE5"/>
    <w:rsid w:val="0D4F749B"/>
    <w:rsid w:val="0D613BA3"/>
    <w:rsid w:val="0D744565"/>
    <w:rsid w:val="0D78361E"/>
    <w:rsid w:val="0D7F564D"/>
    <w:rsid w:val="0D835665"/>
    <w:rsid w:val="0D955077"/>
    <w:rsid w:val="0D957F13"/>
    <w:rsid w:val="0D9D0D63"/>
    <w:rsid w:val="0DAC6DFF"/>
    <w:rsid w:val="0DB243FB"/>
    <w:rsid w:val="0DBC49CF"/>
    <w:rsid w:val="0DC3083F"/>
    <w:rsid w:val="0DDB3390"/>
    <w:rsid w:val="0DDF094C"/>
    <w:rsid w:val="0DE052FE"/>
    <w:rsid w:val="0DFF2B1F"/>
    <w:rsid w:val="0E08297D"/>
    <w:rsid w:val="0E131CA0"/>
    <w:rsid w:val="0E177159"/>
    <w:rsid w:val="0E214766"/>
    <w:rsid w:val="0E2340BB"/>
    <w:rsid w:val="0E3330D0"/>
    <w:rsid w:val="0E3916C1"/>
    <w:rsid w:val="0E440278"/>
    <w:rsid w:val="0E4E5304"/>
    <w:rsid w:val="0E537C3C"/>
    <w:rsid w:val="0E5576D4"/>
    <w:rsid w:val="0E7132E0"/>
    <w:rsid w:val="0E7413AC"/>
    <w:rsid w:val="0E7519BC"/>
    <w:rsid w:val="0E992415"/>
    <w:rsid w:val="0E9E4D5A"/>
    <w:rsid w:val="0EA91DC7"/>
    <w:rsid w:val="0EAA7EC3"/>
    <w:rsid w:val="0EC81E9E"/>
    <w:rsid w:val="0EC82AA3"/>
    <w:rsid w:val="0ECE66B5"/>
    <w:rsid w:val="0EDC2C57"/>
    <w:rsid w:val="0EDD7052"/>
    <w:rsid w:val="0EE5481D"/>
    <w:rsid w:val="0EF72277"/>
    <w:rsid w:val="0EFC7665"/>
    <w:rsid w:val="0F005A4B"/>
    <w:rsid w:val="0F11785B"/>
    <w:rsid w:val="0F182E7A"/>
    <w:rsid w:val="0F193A29"/>
    <w:rsid w:val="0F21557B"/>
    <w:rsid w:val="0F372967"/>
    <w:rsid w:val="0F3747E7"/>
    <w:rsid w:val="0F3D56F1"/>
    <w:rsid w:val="0F5107D2"/>
    <w:rsid w:val="0F5413E6"/>
    <w:rsid w:val="0F5923CF"/>
    <w:rsid w:val="0F5963C8"/>
    <w:rsid w:val="0F5D690E"/>
    <w:rsid w:val="0F6306BA"/>
    <w:rsid w:val="0F8F0E66"/>
    <w:rsid w:val="0F8F24C0"/>
    <w:rsid w:val="0F906704"/>
    <w:rsid w:val="0FDA7DDA"/>
    <w:rsid w:val="0FE30C1D"/>
    <w:rsid w:val="0FF67068"/>
    <w:rsid w:val="0FF721A8"/>
    <w:rsid w:val="0FFA1150"/>
    <w:rsid w:val="10231A07"/>
    <w:rsid w:val="10265FA2"/>
    <w:rsid w:val="10490BAD"/>
    <w:rsid w:val="105825AE"/>
    <w:rsid w:val="106C0466"/>
    <w:rsid w:val="107E2741"/>
    <w:rsid w:val="108F05CA"/>
    <w:rsid w:val="109241A4"/>
    <w:rsid w:val="109615A9"/>
    <w:rsid w:val="109658C1"/>
    <w:rsid w:val="10992CCA"/>
    <w:rsid w:val="10A81A96"/>
    <w:rsid w:val="10C9379F"/>
    <w:rsid w:val="10D01861"/>
    <w:rsid w:val="10D2232B"/>
    <w:rsid w:val="10D6699E"/>
    <w:rsid w:val="10D902DE"/>
    <w:rsid w:val="10E63E4A"/>
    <w:rsid w:val="11104883"/>
    <w:rsid w:val="11291D63"/>
    <w:rsid w:val="112D72C6"/>
    <w:rsid w:val="113F3856"/>
    <w:rsid w:val="1155323D"/>
    <w:rsid w:val="11683FF9"/>
    <w:rsid w:val="118038D3"/>
    <w:rsid w:val="118C0750"/>
    <w:rsid w:val="119229CC"/>
    <w:rsid w:val="11A17658"/>
    <w:rsid w:val="11A50508"/>
    <w:rsid w:val="11A63D04"/>
    <w:rsid w:val="11E2669D"/>
    <w:rsid w:val="11FD3DC0"/>
    <w:rsid w:val="120639A8"/>
    <w:rsid w:val="12121726"/>
    <w:rsid w:val="121408DF"/>
    <w:rsid w:val="122250B4"/>
    <w:rsid w:val="123E5A4F"/>
    <w:rsid w:val="12447798"/>
    <w:rsid w:val="125D4125"/>
    <w:rsid w:val="12771554"/>
    <w:rsid w:val="127B3BB4"/>
    <w:rsid w:val="12AA1F62"/>
    <w:rsid w:val="12AE4121"/>
    <w:rsid w:val="12B51A8D"/>
    <w:rsid w:val="12B63F3E"/>
    <w:rsid w:val="12BB4A97"/>
    <w:rsid w:val="12C041D4"/>
    <w:rsid w:val="12CF1D40"/>
    <w:rsid w:val="12F14732"/>
    <w:rsid w:val="12F7602D"/>
    <w:rsid w:val="12FD27F6"/>
    <w:rsid w:val="13166D0A"/>
    <w:rsid w:val="13437E80"/>
    <w:rsid w:val="134C3538"/>
    <w:rsid w:val="134E54BA"/>
    <w:rsid w:val="13583391"/>
    <w:rsid w:val="137F4008"/>
    <w:rsid w:val="13866322"/>
    <w:rsid w:val="1390333E"/>
    <w:rsid w:val="139C110B"/>
    <w:rsid w:val="13A51648"/>
    <w:rsid w:val="13BE3B38"/>
    <w:rsid w:val="13C30FC1"/>
    <w:rsid w:val="13CD4D8B"/>
    <w:rsid w:val="13E476E4"/>
    <w:rsid w:val="13E963AA"/>
    <w:rsid w:val="13F672DD"/>
    <w:rsid w:val="13FB7B95"/>
    <w:rsid w:val="13FF44D4"/>
    <w:rsid w:val="140A2CA4"/>
    <w:rsid w:val="140C5848"/>
    <w:rsid w:val="1415743A"/>
    <w:rsid w:val="141B497D"/>
    <w:rsid w:val="1421569D"/>
    <w:rsid w:val="14215C68"/>
    <w:rsid w:val="1423329C"/>
    <w:rsid w:val="14480142"/>
    <w:rsid w:val="144E5CD4"/>
    <w:rsid w:val="14510CDA"/>
    <w:rsid w:val="145521C1"/>
    <w:rsid w:val="145B0E4C"/>
    <w:rsid w:val="145F0D59"/>
    <w:rsid w:val="14646AFE"/>
    <w:rsid w:val="147A1FC8"/>
    <w:rsid w:val="1483457B"/>
    <w:rsid w:val="14907687"/>
    <w:rsid w:val="14933D0B"/>
    <w:rsid w:val="1497284C"/>
    <w:rsid w:val="14976030"/>
    <w:rsid w:val="149B6760"/>
    <w:rsid w:val="149D2922"/>
    <w:rsid w:val="14A07B27"/>
    <w:rsid w:val="14BF7340"/>
    <w:rsid w:val="14CA4A78"/>
    <w:rsid w:val="14D5440D"/>
    <w:rsid w:val="14D87DF4"/>
    <w:rsid w:val="14E21050"/>
    <w:rsid w:val="14E45DBB"/>
    <w:rsid w:val="14F13DA6"/>
    <w:rsid w:val="14FF6FC2"/>
    <w:rsid w:val="15060BB2"/>
    <w:rsid w:val="150824BE"/>
    <w:rsid w:val="15220493"/>
    <w:rsid w:val="15222491"/>
    <w:rsid w:val="15286C92"/>
    <w:rsid w:val="1529100F"/>
    <w:rsid w:val="1534525F"/>
    <w:rsid w:val="153C7D33"/>
    <w:rsid w:val="15525599"/>
    <w:rsid w:val="155C1FAD"/>
    <w:rsid w:val="156063FA"/>
    <w:rsid w:val="15647A16"/>
    <w:rsid w:val="156506C2"/>
    <w:rsid w:val="156F1F39"/>
    <w:rsid w:val="157674F6"/>
    <w:rsid w:val="157A419A"/>
    <w:rsid w:val="158270AF"/>
    <w:rsid w:val="158E79FA"/>
    <w:rsid w:val="158F210D"/>
    <w:rsid w:val="159427E9"/>
    <w:rsid w:val="15A64D71"/>
    <w:rsid w:val="15AA1B7E"/>
    <w:rsid w:val="15BB0608"/>
    <w:rsid w:val="15BC5B5C"/>
    <w:rsid w:val="15C225B8"/>
    <w:rsid w:val="15D44A58"/>
    <w:rsid w:val="15DD5A1F"/>
    <w:rsid w:val="15E12A88"/>
    <w:rsid w:val="15E95672"/>
    <w:rsid w:val="15F9350E"/>
    <w:rsid w:val="15FF6183"/>
    <w:rsid w:val="16037D18"/>
    <w:rsid w:val="16054980"/>
    <w:rsid w:val="160571EE"/>
    <w:rsid w:val="161D609B"/>
    <w:rsid w:val="16271D63"/>
    <w:rsid w:val="162A3755"/>
    <w:rsid w:val="164B1111"/>
    <w:rsid w:val="1654369C"/>
    <w:rsid w:val="165B2ECB"/>
    <w:rsid w:val="165E7351"/>
    <w:rsid w:val="1661285E"/>
    <w:rsid w:val="1677642A"/>
    <w:rsid w:val="167A7800"/>
    <w:rsid w:val="16BD2FB9"/>
    <w:rsid w:val="16C05D40"/>
    <w:rsid w:val="16C9246D"/>
    <w:rsid w:val="16D96177"/>
    <w:rsid w:val="16DB2490"/>
    <w:rsid w:val="16DE0A1B"/>
    <w:rsid w:val="16E7731D"/>
    <w:rsid w:val="16EE2B7A"/>
    <w:rsid w:val="17060D55"/>
    <w:rsid w:val="172214A5"/>
    <w:rsid w:val="1723727A"/>
    <w:rsid w:val="17276F5B"/>
    <w:rsid w:val="17356295"/>
    <w:rsid w:val="174F4BA1"/>
    <w:rsid w:val="1751528E"/>
    <w:rsid w:val="175A4276"/>
    <w:rsid w:val="175D5180"/>
    <w:rsid w:val="1764674F"/>
    <w:rsid w:val="176C095E"/>
    <w:rsid w:val="1785675F"/>
    <w:rsid w:val="178E4F46"/>
    <w:rsid w:val="178F5381"/>
    <w:rsid w:val="179855D1"/>
    <w:rsid w:val="179F1E7A"/>
    <w:rsid w:val="17A37760"/>
    <w:rsid w:val="17A613DC"/>
    <w:rsid w:val="17AA27DB"/>
    <w:rsid w:val="17AF2DFF"/>
    <w:rsid w:val="17B943BD"/>
    <w:rsid w:val="17C527E0"/>
    <w:rsid w:val="17DD5D9F"/>
    <w:rsid w:val="18072BBA"/>
    <w:rsid w:val="180B6554"/>
    <w:rsid w:val="180B753C"/>
    <w:rsid w:val="181A753A"/>
    <w:rsid w:val="1831099E"/>
    <w:rsid w:val="18344379"/>
    <w:rsid w:val="184061B8"/>
    <w:rsid w:val="184E13FF"/>
    <w:rsid w:val="18675E2F"/>
    <w:rsid w:val="186840DA"/>
    <w:rsid w:val="186A7F3C"/>
    <w:rsid w:val="188A0D46"/>
    <w:rsid w:val="188D7449"/>
    <w:rsid w:val="189553E8"/>
    <w:rsid w:val="189A62E8"/>
    <w:rsid w:val="18A543EE"/>
    <w:rsid w:val="18A64E26"/>
    <w:rsid w:val="18AC426F"/>
    <w:rsid w:val="18B43583"/>
    <w:rsid w:val="18D71037"/>
    <w:rsid w:val="18D76F2C"/>
    <w:rsid w:val="18EF4764"/>
    <w:rsid w:val="18F062F7"/>
    <w:rsid w:val="18F279A0"/>
    <w:rsid w:val="191372F1"/>
    <w:rsid w:val="191F2375"/>
    <w:rsid w:val="192A6B82"/>
    <w:rsid w:val="192A78E5"/>
    <w:rsid w:val="192C06DB"/>
    <w:rsid w:val="192F0BCD"/>
    <w:rsid w:val="19412402"/>
    <w:rsid w:val="195528E8"/>
    <w:rsid w:val="19607D81"/>
    <w:rsid w:val="19640C89"/>
    <w:rsid w:val="196B73C9"/>
    <w:rsid w:val="197B5DCD"/>
    <w:rsid w:val="197D1DB8"/>
    <w:rsid w:val="1984247F"/>
    <w:rsid w:val="199503FD"/>
    <w:rsid w:val="19A45D24"/>
    <w:rsid w:val="19AF5CF6"/>
    <w:rsid w:val="19C07C84"/>
    <w:rsid w:val="19C63D4F"/>
    <w:rsid w:val="19C65E12"/>
    <w:rsid w:val="19C735BB"/>
    <w:rsid w:val="19CD53C2"/>
    <w:rsid w:val="19DA3A4C"/>
    <w:rsid w:val="19E63640"/>
    <w:rsid w:val="19ED2D17"/>
    <w:rsid w:val="19F256A0"/>
    <w:rsid w:val="19F3723A"/>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32451"/>
    <w:rsid w:val="1AC63647"/>
    <w:rsid w:val="1AD3707B"/>
    <w:rsid w:val="1ADC0421"/>
    <w:rsid w:val="1AE00854"/>
    <w:rsid w:val="1AEA71EF"/>
    <w:rsid w:val="1AEA7C79"/>
    <w:rsid w:val="1AF16F9C"/>
    <w:rsid w:val="1AF50990"/>
    <w:rsid w:val="1B0D5CFB"/>
    <w:rsid w:val="1B217891"/>
    <w:rsid w:val="1B2516D5"/>
    <w:rsid w:val="1B2B089B"/>
    <w:rsid w:val="1B371569"/>
    <w:rsid w:val="1B3C4343"/>
    <w:rsid w:val="1B3F102F"/>
    <w:rsid w:val="1B4E4B33"/>
    <w:rsid w:val="1B4E745B"/>
    <w:rsid w:val="1B6B549A"/>
    <w:rsid w:val="1B7E5BC4"/>
    <w:rsid w:val="1B870B5B"/>
    <w:rsid w:val="1B8B6B38"/>
    <w:rsid w:val="1B9A27F5"/>
    <w:rsid w:val="1BA220C5"/>
    <w:rsid w:val="1BA71412"/>
    <w:rsid w:val="1BBC09F6"/>
    <w:rsid w:val="1BBE4801"/>
    <w:rsid w:val="1BC7007B"/>
    <w:rsid w:val="1BCF516C"/>
    <w:rsid w:val="1BD34730"/>
    <w:rsid w:val="1BDF455D"/>
    <w:rsid w:val="1BEE6734"/>
    <w:rsid w:val="1C000717"/>
    <w:rsid w:val="1C1A373E"/>
    <w:rsid w:val="1C1D5D24"/>
    <w:rsid w:val="1C297CFC"/>
    <w:rsid w:val="1C2E07C6"/>
    <w:rsid w:val="1C3571F6"/>
    <w:rsid w:val="1C3672FA"/>
    <w:rsid w:val="1C3A751E"/>
    <w:rsid w:val="1C423FC4"/>
    <w:rsid w:val="1C47233F"/>
    <w:rsid w:val="1C4C1E62"/>
    <w:rsid w:val="1C5D00DA"/>
    <w:rsid w:val="1C6441F0"/>
    <w:rsid w:val="1C791088"/>
    <w:rsid w:val="1C7A307B"/>
    <w:rsid w:val="1C7D0C1A"/>
    <w:rsid w:val="1C7E2DD6"/>
    <w:rsid w:val="1C8561C1"/>
    <w:rsid w:val="1C905109"/>
    <w:rsid w:val="1CA53FA1"/>
    <w:rsid w:val="1CAA0F65"/>
    <w:rsid w:val="1CAD4CCB"/>
    <w:rsid w:val="1CAF7573"/>
    <w:rsid w:val="1CCC40C9"/>
    <w:rsid w:val="1CDD5D84"/>
    <w:rsid w:val="1D186F9D"/>
    <w:rsid w:val="1D1C598A"/>
    <w:rsid w:val="1D1F5845"/>
    <w:rsid w:val="1D504421"/>
    <w:rsid w:val="1D7E7249"/>
    <w:rsid w:val="1D7F6660"/>
    <w:rsid w:val="1D956B63"/>
    <w:rsid w:val="1DA155EF"/>
    <w:rsid w:val="1DA251E1"/>
    <w:rsid w:val="1DA67F64"/>
    <w:rsid w:val="1DA838FE"/>
    <w:rsid w:val="1DA93704"/>
    <w:rsid w:val="1DB875D1"/>
    <w:rsid w:val="1DC5127B"/>
    <w:rsid w:val="1DDE1A57"/>
    <w:rsid w:val="1DE009E6"/>
    <w:rsid w:val="1DE4729F"/>
    <w:rsid w:val="1DF679C8"/>
    <w:rsid w:val="1E1B2BD7"/>
    <w:rsid w:val="1E224F27"/>
    <w:rsid w:val="1E2A7432"/>
    <w:rsid w:val="1E343C5D"/>
    <w:rsid w:val="1E37411F"/>
    <w:rsid w:val="1E407993"/>
    <w:rsid w:val="1E5E301B"/>
    <w:rsid w:val="1E634732"/>
    <w:rsid w:val="1E6F06AB"/>
    <w:rsid w:val="1E752FA6"/>
    <w:rsid w:val="1E814D75"/>
    <w:rsid w:val="1E826F9E"/>
    <w:rsid w:val="1E85463E"/>
    <w:rsid w:val="1E8718D1"/>
    <w:rsid w:val="1ECF1323"/>
    <w:rsid w:val="1ECF4A99"/>
    <w:rsid w:val="1ED12C2B"/>
    <w:rsid w:val="1EDC33BC"/>
    <w:rsid w:val="1EE21314"/>
    <w:rsid w:val="1EEF50E7"/>
    <w:rsid w:val="1EF72D37"/>
    <w:rsid w:val="1F04068A"/>
    <w:rsid w:val="1F0E3376"/>
    <w:rsid w:val="1F101F77"/>
    <w:rsid w:val="1F211865"/>
    <w:rsid w:val="1F295D72"/>
    <w:rsid w:val="1F371717"/>
    <w:rsid w:val="1F4325C8"/>
    <w:rsid w:val="1F520B16"/>
    <w:rsid w:val="1F595BBB"/>
    <w:rsid w:val="1F7044DA"/>
    <w:rsid w:val="1F777E85"/>
    <w:rsid w:val="1F782E4D"/>
    <w:rsid w:val="1F7C7957"/>
    <w:rsid w:val="1FC127CE"/>
    <w:rsid w:val="1FD21E35"/>
    <w:rsid w:val="1FD96681"/>
    <w:rsid w:val="1FE10390"/>
    <w:rsid w:val="1FE54DBA"/>
    <w:rsid w:val="1FE73560"/>
    <w:rsid w:val="1FEE7A9C"/>
    <w:rsid w:val="200E58BD"/>
    <w:rsid w:val="2041466C"/>
    <w:rsid w:val="20496BB2"/>
    <w:rsid w:val="204C064C"/>
    <w:rsid w:val="205164A7"/>
    <w:rsid w:val="2061396C"/>
    <w:rsid w:val="206D4243"/>
    <w:rsid w:val="20707670"/>
    <w:rsid w:val="207714C5"/>
    <w:rsid w:val="207B590B"/>
    <w:rsid w:val="2090238B"/>
    <w:rsid w:val="209A2CD8"/>
    <w:rsid w:val="20A434B3"/>
    <w:rsid w:val="20AB0E60"/>
    <w:rsid w:val="20AC2B89"/>
    <w:rsid w:val="20BA4AFB"/>
    <w:rsid w:val="20BA6502"/>
    <w:rsid w:val="20CD6B95"/>
    <w:rsid w:val="20CD7D4E"/>
    <w:rsid w:val="20E00C0C"/>
    <w:rsid w:val="20E20BBA"/>
    <w:rsid w:val="20E737F7"/>
    <w:rsid w:val="20EC03B6"/>
    <w:rsid w:val="20EE04E5"/>
    <w:rsid w:val="21297D3A"/>
    <w:rsid w:val="212E17DE"/>
    <w:rsid w:val="212E7692"/>
    <w:rsid w:val="213271D8"/>
    <w:rsid w:val="213E655D"/>
    <w:rsid w:val="214D4FE0"/>
    <w:rsid w:val="215026E7"/>
    <w:rsid w:val="21592706"/>
    <w:rsid w:val="216D7544"/>
    <w:rsid w:val="21712A16"/>
    <w:rsid w:val="2173162C"/>
    <w:rsid w:val="21825FF7"/>
    <w:rsid w:val="218E2266"/>
    <w:rsid w:val="21900AEB"/>
    <w:rsid w:val="2194776B"/>
    <w:rsid w:val="21B80AA5"/>
    <w:rsid w:val="21D2685E"/>
    <w:rsid w:val="21FF7518"/>
    <w:rsid w:val="22026AE6"/>
    <w:rsid w:val="22095360"/>
    <w:rsid w:val="2214054C"/>
    <w:rsid w:val="22145011"/>
    <w:rsid w:val="221703FC"/>
    <w:rsid w:val="2224382E"/>
    <w:rsid w:val="222A0690"/>
    <w:rsid w:val="222A56CF"/>
    <w:rsid w:val="22305995"/>
    <w:rsid w:val="2240392C"/>
    <w:rsid w:val="22491AE1"/>
    <w:rsid w:val="225216B5"/>
    <w:rsid w:val="225E20C5"/>
    <w:rsid w:val="227B42A0"/>
    <w:rsid w:val="228A40D4"/>
    <w:rsid w:val="228F22EB"/>
    <w:rsid w:val="228F6A6B"/>
    <w:rsid w:val="22922A7B"/>
    <w:rsid w:val="22A03D45"/>
    <w:rsid w:val="22A379E2"/>
    <w:rsid w:val="22A574EB"/>
    <w:rsid w:val="22A60967"/>
    <w:rsid w:val="22B37446"/>
    <w:rsid w:val="22BB2C46"/>
    <w:rsid w:val="22C750B8"/>
    <w:rsid w:val="22CB0F22"/>
    <w:rsid w:val="22D126DE"/>
    <w:rsid w:val="22D279A8"/>
    <w:rsid w:val="22DD7C0E"/>
    <w:rsid w:val="22DE275C"/>
    <w:rsid w:val="22F05B87"/>
    <w:rsid w:val="22F44E5C"/>
    <w:rsid w:val="22F960C1"/>
    <w:rsid w:val="23034661"/>
    <w:rsid w:val="23047581"/>
    <w:rsid w:val="230511FB"/>
    <w:rsid w:val="230E6CDE"/>
    <w:rsid w:val="231D7D99"/>
    <w:rsid w:val="233F7861"/>
    <w:rsid w:val="2342728C"/>
    <w:rsid w:val="234B015E"/>
    <w:rsid w:val="234F141B"/>
    <w:rsid w:val="235408E6"/>
    <w:rsid w:val="236F7B2F"/>
    <w:rsid w:val="23774488"/>
    <w:rsid w:val="238070E3"/>
    <w:rsid w:val="23A308EE"/>
    <w:rsid w:val="23A674E6"/>
    <w:rsid w:val="23AD2144"/>
    <w:rsid w:val="23B07449"/>
    <w:rsid w:val="23CC55B1"/>
    <w:rsid w:val="23D60547"/>
    <w:rsid w:val="23DA1C71"/>
    <w:rsid w:val="23EB0393"/>
    <w:rsid w:val="23EC61B5"/>
    <w:rsid w:val="23FD5BE3"/>
    <w:rsid w:val="24026629"/>
    <w:rsid w:val="24072EA9"/>
    <w:rsid w:val="242C1F21"/>
    <w:rsid w:val="2438587A"/>
    <w:rsid w:val="24386853"/>
    <w:rsid w:val="24396E2E"/>
    <w:rsid w:val="243E50DA"/>
    <w:rsid w:val="246D212F"/>
    <w:rsid w:val="24715F69"/>
    <w:rsid w:val="24760A5D"/>
    <w:rsid w:val="247D3288"/>
    <w:rsid w:val="24992B5E"/>
    <w:rsid w:val="24A9218A"/>
    <w:rsid w:val="24B140D4"/>
    <w:rsid w:val="24B33FFF"/>
    <w:rsid w:val="24BE0177"/>
    <w:rsid w:val="24C569C9"/>
    <w:rsid w:val="24C93BBB"/>
    <w:rsid w:val="24CA5234"/>
    <w:rsid w:val="24DE7825"/>
    <w:rsid w:val="24E61F36"/>
    <w:rsid w:val="24F17095"/>
    <w:rsid w:val="24F214B5"/>
    <w:rsid w:val="24F35147"/>
    <w:rsid w:val="24F7585F"/>
    <w:rsid w:val="24F907DC"/>
    <w:rsid w:val="250D35C2"/>
    <w:rsid w:val="252437DA"/>
    <w:rsid w:val="252A03F9"/>
    <w:rsid w:val="25324A24"/>
    <w:rsid w:val="25560FB4"/>
    <w:rsid w:val="255B68D6"/>
    <w:rsid w:val="256271F2"/>
    <w:rsid w:val="256E3452"/>
    <w:rsid w:val="25821C68"/>
    <w:rsid w:val="25AB42B8"/>
    <w:rsid w:val="25B022B3"/>
    <w:rsid w:val="25B74631"/>
    <w:rsid w:val="25B91E90"/>
    <w:rsid w:val="25DD4552"/>
    <w:rsid w:val="25E513D9"/>
    <w:rsid w:val="25EE6A79"/>
    <w:rsid w:val="25EF43C8"/>
    <w:rsid w:val="25FA471E"/>
    <w:rsid w:val="26075FA8"/>
    <w:rsid w:val="26090329"/>
    <w:rsid w:val="2623756A"/>
    <w:rsid w:val="262E08BF"/>
    <w:rsid w:val="26310EA6"/>
    <w:rsid w:val="263951B2"/>
    <w:rsid w:val="263E55AD"/>
    <w:rsid w:val="264B37D3"/>
    <w:rsid w:val="265B2B39"/>
    <w:rsid w:val="26796452"/>
    <w:rsid w:val="267F4FDD"/>
    <w:rsid w:val="26942FFE"/>
    <w:rsid w:val="26965DCF"/>
    <w:rsid w:val="269A23BD"/>
    <w:rsid w:val="26CD5188"/>
    <w:rsid w:val="26D16230"/>
    <w:rsid w:val="26D609E2"/>
    <w:rsid w:val="26DE1868"/>
    <w:rsid w:val="26ED14DB"/>
    <w:rsid w:val="270F3C75"/>
    <w:rsid w:val="27157D13"/>
    <w:rsid w:val="27183A77"/>
    <w:rsid w:val="271E61B2"/>
    <w:rsid w:val="27440809"/>
    <w:rsid w:val="27501DD7"/>
    <w:rsid w:val="27543CE2"/>
    <w:rsid w:val="276136D1"/>
    <w:rsid w:val="2766357B"/>
    <w:rsid w:val="276F3F63"/>
    <w:rsid w:val="27814FF8"/>
    <w:rsid w:val="27885693"/>
    <w:rsid w:val="278E4856"/>
    <w:rsid w:val="27930B1B"/>
    <w:rsid w:val="27944036"/>
    <w:rsid w:val="279A6599"/>
    <w:rsid w:val="27A4419F"/>
    <w:rsid w:val="27A931B8"/>
    <w:rsid w:val="27AB7AFD"/>
    <w:rsid w:val="27AC12A6"/>
    <w:rsid w:val="27B64635"/>
    <w:rsid w:val="27B814C3"/>
    <w:rsid w:val="27BD0876"/>
    <w:rsid w:val="27C42CCD"/>
    <w:rsid w:val="27C957F9"/>
    <w:rsid w:val="27CE6762"/>
    <w:rsid w:val="27ED6C77"/>
    <w:rsid w:val="27EF2EB7"/>
    <w:rsid w:val="27F84FA1"/>
    <w:rsid w:val="27FC6995"/>
    <w:rsid w:val="28096EEE"/>
    <w:rsid w:val="28140998"/>
    <w:rsid w:val="281C525D"/>
    <w:rsid w:val="282B60A0"/>
    <w:rsid w:val="283146AB"/>
    <w:rsid w:val="2834674F"/>
    <w:rsid w:val="28460713"/>
    <w:rsid w:val="285279BC"/>
    <w:rsid w:val="28563053"/>
    <w:rsid w:val="285C7146"/>
    <w:rsid w:val="285D2A4F"/>
    <w:rsid w:val="28685F9C"/>
    <w:rsid w:val="286F24C0"/>
    <w:rsid w:val="287F6CB5"/>
    <w:rsid w:val="288837AF"/>
    <w:rsid w:val="288B5171"/>
    <w:rsid w:val="288C6204"/>
    <w:rsid w:val="28954CDC"/>
    <w:rsid w:val="28A96A0F"/>
    <w:rsid w:val="28B71B2C"/>
    <w:rsid w:val="28C4207C"/>
    <w:rsid w:val="28C92B51"/>
    <w:rsid w:val="28D61AB0"/>
    <w:rsid w:val="28D95DFB"/>
    <w:rsid w:val="28DD5033"/>
    <w:rsid w:val="28DD62C9"/>
    <w:rsid w:val="28EE7A07"/>
    <w:rsid w:val="28FE675D"/>
    <w:rsid w:val="29003A13"/>
    <w:rsid w:val="29063378"/>
    <w:rsid w:val="29115557"/>
    <w:rsid w:val="29115F0D"/>
    <w:rsid w:val="29194F40"/>
    <w:rsid w:val="291D162A"/>
    <w:rsid w:val="291F3AAD"/>
    <w:rsid w:val="291F4F8E"/>
    <w:rsid w:val="292278A9"/>
    <w:rsid w:val="29284E13"/>
    <w:rsid w:val="29307D6E"/>
    <w:rsid w:val="293262FA"/>
    <w:rsid w:val="293C37C9"/>
    <w:rsid w:val="293C6591"/>
    <w:rsid w:val="294D06B9"/>
    <w:rsid w:val="2957531C"/>
    <w:rsid w:val="298C2425"/>
    <w:rsid w:val="29A113D7"/>
    <w:rsid w:val="29A14B0F"/>
    <w:rsid w:val="29AF4C6B"/>
    <w:rsid w:val="29BC60F0"/>
    <w:rsid w:val="29C74C47"/>
    <w:rsid w:val="29CD4516"/>
    <w:rsid w:val="29D64532"/>
    <w:rsid w:val="29DA7956"/>
    <w:rsid w:val="29E94589"/>
    <w:rsid w:val="2A155F81"/>
    <w:rsid w:val="2A17370C"/>
    <w:rsid w:val="2A1E2DE0"/>
    <w:rsid w:val="2A250847"/>
    <w:rsid w:val="2A2B222C"/>
    <w:rsid w:val="2A331695"/>
    <w:rsid w:val="2A412255"/>
    <w:rsid w:val="2A442E66"/>
    <w:rsid w:val="2A4A1ED4"/>
    <w:rsid w:val="2A4C79F4"/>
    <w:rsid w:val="2A553548"/>
    <w:rsid w:val="2A7049D1"/>
    <w:rsid w:val="2A7D78B2"/>
    <w:rsid w:val="2A842BAD"/>
    <w:rsid w:val="2A970008"/>
    <w:rsid w:val="2AA60E99"/>
    <w:rsid w:val="2AAE5692"/>
    <w:rsid w:val="2AB04251"/>
    <w:rsid w:val="2AB04D93"/>
    <w:rsid w:val="2AB4611E"/>
    <w:rsid w:val="2ABE7215"/>
    <w:rsid w:val="2AC7659F"/>
    <w:rsid w:val="2ACE62FF"/>
    <w:rsid w:val="2AD76897"/>
    <w:rsid w:val="2ADB482F"/>
    <w:rsid w:val="2ADB4FE6"/>
    <w:rsid w:val="2AE01B62"/>
    <w:rsid w:val="2AE4337F"/>
    <w:rsid w:val="2AE558B3"/>
    <w:rsid w:val="2AE8229B"/>
    <w:rsid w:val="2AE92316"/>
    <w:rsid w:val="2AEC42E5"/>
    <w:rsid w:val="2AED4F27"/>
    <w:rsid w:val="2B034D47"/>
    <w:rsid w:val="2B041D0A"/>
    <w:rsid w:val="2B07735B"/>
    <w:rsid w:val="2B2629D8"/>
    <w:rsid w:val="2B271F5E"/>
    <w:rsid w:val="2B2D1028"/>
    <w:rsid w:val="2B2E3C18"/>
    <w:rsid w:val="2B406C5D"/>
    <w:rsid w:val="2B4D413E"/>
    <w:rsid w:val="2B5B5A00"/>
    <w:rsid w:val="2B60240F"/>
    <w:rsid w:val="2B641C02"/>
    <w:rsid w:val="2B6F681F"/>
    <w:rsid w:val="2B8164B4"/>
    <w:rsid w:val="2B8302EB"/>
    <w:rsid w:val="2B844BD6"/>
    <w:rsid w:val="2B893BA3"/>
    <w:rsid w:val="2B923A1C"/>
    <w:rsid w:val="2B992A15"/>
    <w:rsid w:val="2B9C061A"/>
    <w:rsid w:val="2B9E2538"/>
    <w:rsid w:val="2BBC1D86"/>
    <w:rsid w:val="2BC82480"/>
    <w:rsid w:val="2BCB657F"/>
    <w:rsid w:val="2BEB375B"/>
    <w:rsid w:val="2BEB41DF"/>
    <w:rsid w:val="2BF954ED"/>
    <w:rsid w:val="2BFB0E99"/>
    <w:rsid w:val="2C07332F"/>
    <w:rsid w:val="2C0C4D11"/>
    <w:rsid w:val="2C1A5D63"/>
    <w:rsid w:val="2C2907BF"/>
    <w:rsid w:val="2C2A3701"/>
    <w:rsid w:val="2C3141F7"/>
    <w:rsid w:val="2C3E1BC4"/>
    <w:rsid w:val="2C45636A"/>
    <w:rsid w:val="2C536973"/>
    <w:rsid w:val="2C5A1C73"/>
    <w:rsid w:val="2C5A6041"/>
    <w:rsid w:val="2C7208C6"/>
    <w:rsid w:val="2C80477B"/>
    <w:rsid w:val="2C852D34"/>
    <w:rsid w:val="2C8F4F35"/>
    <w:rsid w:val="2CA73FE3"/>
    <w:rsid w:val="2CA7654E"/>
    <w:rsid w:val="2CAD6FE3"/>
    <w:rsid w:val="2CC91D44"/>
    <w:rsid w:val="2CCD729A"/>
    <w:rsid w:val="2CD46AFB"/>
    <w:rsid w:val="2CDC2898"/>
    <w:rsid w:val="2CE15438"/>
    <w:rsid w:val="2CF86901"/>
    <w:rsid w:val="2CFC3A5A"/>
    <w:rsid w:val="2D151F6D"/>
    <w:rsid w:val="2D1D4166"/>
    <w:rsid w:val="2D214A86"/>
    <w:rsid w:val="2D291F09"/>
    <w:rsid w:val="2D3416FA"/>
    <w:rsid w:val="2D36293A"/>
    <w:rsid w:val="2D402CFE"/>
    <w:rsid w:val="2D461EFE"/>
    <w:rsid w:val="2D5152AE"/>
    <w:rsid w:val="2D555CB7"/>
    <w:rsid w:val="2D595EBC"/>
    <w:rsid w:val="2D5E586A"/>
    <w:rsid w:val="2D61248D"/>
    <w:rsid w:val="2D68440E"/>
    <w:rsid w:val="2D6D5152"/>
    <w:rsid w:val="2D812190"/>
    <w:rsid w:val="2D917243"/>
    <w:rsid w:val="2DA94150"/>
    <w:rsid w:val="2DBB0B00"/>
    <w:rsid w:val="2DCA0A75"/>
    <w:rsid w:val="2DD854F5"/>
    <w:rsid w:val="2DD90BA6"/>
    <w:rsid w:val="2DEA643F"/>
    <w:rsid w:val="2E000AC6"/>
    <w:rsid w:val="2E090B97"/>
    <w:rsid w:val="2E0C79CF"/>
    <w:rsid w:val="2E1176AC"/>
    <w:rsid w:val="2E21674A"/>
    <w:rsid w:val="2E26750E"/>
    <w:rsid w:val="2E2701FF"/>
    <w:rsid w:val="2E273353"/>
    <w:rsid w:val="2E2D216F"/>
    <w:rsid w:val="2E2F2F11"/>
    <w:rsid w:val="2E3C11DA"/>
    <w:rsid w:val="2E3F7BC5"/>
    <w:rsid w:val="2E434249"/>
    <w:rsid w:val="2E51332D"/>
    <w:rsid w:val="2E613ECA"/>
    <w:rsid w:val="2E691006"/>
    <w:rsid w:val="2EA4705E"/>
    <w:rsid w:val="2EA5244A"/>
    <w:rsid w:val="2EB03B8C"/>
    <w:rsid w:val="2EC872A0"/>
    <w:rsid w:val="2ECB7AE0"/>
    <w:rsid w:val="2EDD247F"/>
    <w:rsid w:val="2EE13DEB"/>
    <w:rsid w:val="2EEA1087"/>
    <w:rsid w:val="2EEF5B78"/>
    <w:rsid w:val="2EF90C24"/>
    <w:rsid w:val="2EFB3516"/>
    <w:rsid w:val="2EFD4FC3"/>
    <w:rsid w:val="2F0E5D72"/>
    <w:rsid w:val="2F235269"/>
    <w:rsid w:val="2F322289"/>
    <w:rsid w:val="2F3770E3"/>
    <w:rsid w:val="2F413C94"/>
    <w:rsid w:val="2F494297"/>
    <w:rsid w:val="2F4B1C2D"/>
    <w:rsid w:val="2F5907B6"/>
    <w:rsid w:val="2F614136"/>
    <w:rsid w:val="2F691CE7"/>
    <w:rsid w:val="2F787B26"/>
    <w:rsid w:val="2F7D0DE5"/>
    <w:rsid w:val="2F7F3D54"/>
    <w:rsid w:val="2F8B2E0E"/>
    <w:rsid w:val="2F8E55F2"/>
    <w:rsid w:val="2F907976"/>
    <w:rsid w:val="2F914D18"/>
    <w:rsid w:val="2FA442D1"/>
    <w:rsid w:val="2FC15AF9"/>
    <w:rsid w:val="2FC57CD2"/>
    <w:rsid w:val="2FCF12B0"/>
    <w:rsid w:val="2FDC4E75"/>
    <w:rsid w:val="2FE27C57"/>
    <w:rsid w:val="301334D4"/>
    <w:rsid w:val="301D03AE"/>
    <w:rsid w:val="30226805"/>
    <w:rsid w:val="302C5AB3"/>
    <w:rsid w:val="302F30EA"/>
    <w:rsid w:val="304570D6"/>
    <w:rsid w:val="30523FBD"/>
    <w:rsid w:val="3056178E"/>
    <w:rsid w:val="30571C73"/>
    <w:rsid w:val="305F2DE8"/>
    <w:rsid w:val="3063595B"/>
    <w:rsid w:val="306A1C37"/>
    <w:rsid w:val="307652C8"/>
    <w:rsid w:val="30790CC0"/>
    <w:rsid w:val="308B7DB2"/>
    <w:rsid w:val="30943D7F"/>
    <w:rsid w:val="309460D4"/>
    <w:rsid w:val="30987AC8"/>
    <w:rsid w:val="309C7501"/>
    <w:rsid w:val="30A375B7"/>
    <w:rsid w:val="30A70282"/>
    <w:rsid w:val="30A819D5"/>
    <w:rsid w:val="30AE3572"/>
    <w:rsid w:val="30D7502F"/>
    <w:rsid w:val="30DB63B0"/>
    <w:rsid w:val="30DC4E37"/>
    <w:rsid w:val="30DC72B8"/>
    <w:rsid w:val="30DF0D3B"/>
    <w:rsid w:val="30E21C94"/>
    <w:rsid w:val="30F80D4D"/>
    <w:rsid w:val="30FB3BB9"/>
    <w:rsid w:val="30FF1022"/>
    <w:rsid w:val="30FF1DEC"/>
    <w:rsid w:val="3103748A"/>
    <w:rsid w:val="310C0761"/>
    <w:rsid w:val="310D7287"/>
    <w:rsid w:val="311B77D4"/>
    <w:rsid w:val="312C2F69"/>
    <w:rsid w:val="313A0372"/>
    <w:rsid w:val="31414D46"/>
    <w:rsid w:val="3160421C"/>
    <w:rsid w:val="3162168B"/>
    <w:rsid w:val="316535BE"/>
    <w:rsid w:val="316C26E3"/>
    <w:rsid w:val="31770A21"/>
    <w:rsid w:val="3179790A"/>
    <w:rsid w:val="31B6217A"/>
    <w:rsid w:val="31BC4646"/>
    <w:rsid w:val="31BF532C"/>
    <w:rsid w:val="31E57565"/>
    <w:rsid w:val="31F27F9B"/>
    <w:rsid w:val="31F72F19"/>
    <w:rsid w:val="32127335"/>
    <w:rsid w:val="321A22CD"/>
    <w:rsid w:val="321E756D"/>
    <w:rsid w:val="32240B26"/>
    <w:rsid w:val="322B0D3A"/>
    <w:rsid w:val="32305666"/>
    <w:rsid w:val="32452FD4"/>
    <w:rsid w:val="324965E4"/>
    <w:rsid w:val="324D319C"/>
    <w:rsid w:val="3254692A"/>
    <w:rsid w:val="32582533"/>
    <w:rsid w:val="32601632"/>
    <w:rsid w:val="32743FF8"/>
    <w:rsid w:val="328D4D87"/>
    <w:rsid w:val="328F399D"/>
    <w:rsid w:val="32946609"/>
    <w:rsid w:val="32987EA1"/>
    <w:rsid w:val="32A2709E"/>
    <w:rsid w:val="32A54325"/>
    <w:rsid w:val="32A57DB8"/>
    <w:rsid w:val="32AD1732"/>
    <w:rsid w:val="32B21FB8"/>
    <w:rsid w:val="32D55D5C"/>
    <w:rsid w:val="32EC2013"/>
    <w:rsid w:val="32F7411E"/>
    <w:rsid w:val="33021368"/>
    <w:rsid w:val="330351F5"/>
    <w:rsid w:val="33093C5C"/>
    <w:rsid w:val="33121D18"/>
    <w:rsid w:val="33133DBA"/>
    <w:rsid w:val="33294831"/>
    <w:rsid w:val="332B2000"/>
    <w:rsid w:val="332C5A43"/>
    <w:rsid w:val="33324BBF"/>
    <w:rsid w:val="334138EA"/>
    <w:rsid w:val="33491F36"/>
    <w:rsid w:val="3354569D"/>
    <w:rsid w:val="33664E15"/>
    <w:rsid w:val="336D5768"/>
    <w:rsid w:val="3373089A"/>
    <w:rsid w:val="337310CE"/>
    <w:rsid w:val="33883009"/>
    <w:rsid w:val="33917AD8"/>
    <w:rsid w:val="339433F2"/>
    <w:rsid w:val="339F751B"/>
    <w:rsid w:val="33A1777E"/>
    <w:rsid w:val="33B2596A"/>
    <w:rsid w:val="33B56E13"/>
    <w:rsid w:val="33BF1A08"/>
    <w:rsid w:val="33C24A9A"/>
    <w:rsid w:val="33C65B01"/>
    <w:rsid w:val="33CC2F57"/>
    <w:rsid w:val="33D07732"/>
    <w:rsid w:val="33D44147"/>
    <w:rsid w:val="33DE1333"/>
    <w:rsid w:val="33DF3033"/>
    <w:rsid w:val="33FA7A53"/>
    <w:rsid w:val="33FD1820"/>
    <w:rsid w:val="33FE59C9"/>
    <w:rsid w:val="34110FF9"/>
    <w:rsid w:val="3411186E"/>
    <w:rsid w:val="3421003E"/>
    <w:rsid w:val="342542D1"/>
    <w:rsid w:val="342B07D0"/>
    <w:rsid w:val="3431732F"/>
    <w:rsid w:val="34385515"/>
    <w:rsid w:val="344175CA"/>
    <w:rsid w:val="345968B4"/>
    <w:rsid w:val="346C2BDC"/>
    <w:rsid w:val="346F0383"/>
    <w:rsid w:val="34704206"/>
    <w:rsid w:val="34725BC1"/>
    <w:rsid w:val="347A4842"/>
    <w:rsid w:val="347C1F8E"/>
    <w:rsid w:val="349A14CC"/>
    <w:rsid w:val="349E15E4"/>
    <w:rsid w:val="349E4539"/>
    <w:rsid w:val="349E7311"/>
    <w:rsid w:val="34AC3B1F"/>
    <w:rsid w:val="34B32942"/>
    <w:rsid w:val="34BA5F8F"/>
    <w:rsid w:val="34C42666"/>
    <w:rsid w:val="34DB4489"/>
    <w:rsid w:val="34E63221"/>
    <w:rsid w:val="34EA3595"/>
    <w:rsid w:val="34F31159"/>
    <w:rsid w:val="34F61BA3"/>
    <w:rsid w:val="35015811"/>
    <w:rsid w:val="35045109"/>
    <w:rsid w:val="35063773"/>
    <w:rsid w:val="350C0171"/>
    <w:rsid w:val="35314625"/>
    <w:rsid w:val="35544143"/>
    <w:rsid w:val="3557388E"/>
    <w:rsid w:val="355831B8"/>
    <w:rsid w:val="35684E72"/>
    <w:rsid w:val="356D19BF"/>
    <w:rsid w:val="357201A0"/>
    <w:rsid w:val="35830EE1"/>
    <w:rsid w:val="35AE4747"/>
    <w:rsid w:val="35BD5D8E"/>
    <w:rsid w:val="35C64805"/>
    <w:rsid w:val="35D34EB8"/>
    <w:rsid w:val="35D43768"/>
    <w:rsid w:val="35E71299"/>
    <w:rsid w:val="35E72F09"/>
    <w:rsid w:val="35F26505"/>
    <w:rsid w:val="35FD0561"/>
    <w:rsid w:val="3617272C"/>
    <w:rsid w:val="361A0DD1"/>
    <w:rsid w:val="363A75C1"/>
    <w:rsid w:val="364C03A6"/>
    <w:rsid w:val="365B19BC"/>
    <w:rsid w:val="368E7AA5"/>
    <w:rsid w:val="36950F43"/>
    <w:rsid w:val="36A757F3"/>
    <w:rsid w:val="36B17531"/>
    <w:rsid w:val="36B46A81"/>
    <w:rsid w:val="36BF5147"/>
    <w:rsid w:val="36C223BE"/>
    <w:rsid w:val="36C257C0"/>
    <w:rsid w:val="36C62770"/>
    <w:rsid w:val="36CB0A48"/>
    <w:rsid w:val="36D44798"/>
    <w:rsid w:val="36D6647D"/>
    <w:rsid w:val="36ED1084"/>
    <w:rsid w:val="36EE6918"/>
    <w:rsid w:val="36F13745"/>
    <w:rsid w:val="36FF7CEB"/>
    <w:rsid w:val="370B1A19"/>
    <w:rsid w:val="370C6890"/>
    <w:rsid w:val="371366D9"/>
    <w:rsid w:val="37185540"/>
    <w:rsid w:val="37194E97"/>
    <w:rsid w:val="371C32AC"/>
    <w:rsid w:val="371D6A40"/>
    <w:rsid w:val="372169A4"/>
    <w:rsid w:val="37235D83"/>
    <w:rsid w:val="373C1BA5"/>
    <w:rsid w:val="373D426B"/>
    <w:rsid w:val="374D082D"/>
    <w:rsid w:val="375C3F67"/>
    <w:rsid w:val="375D1EA8"/>
    <w:rsid w:val="37836450"/>
    <w:rsid w:val="378E57E2"/>
    <w:rsid w:val="379452EB"/>
    <w:rsid w:val="379C6437"/>
    <w:rsid w:val="37A42BA6"/>
    <w:rsid w:val="37A522C1"/>
    <w:rsid w:val="37B272A7"/>
    <w:rsid w:val="37B67EF6"/>
    <w:rsid w:val="37BF2765"/>
    <w:rsid w:val="37BF395F"/>
    <w:rsid w:val="37C3034A"/>
    <w:rsid w:val="37CC5E94"/>
    <w:rsid w:val="37D664EB"/>
    <w:rsid w:val="37E92305"/>
    <w:rsid w:val="37FC68A5"/>
    <w:rsid w:val="38012801"/>
    <w:rsid w:val="380A2593"/>
    <w:rsid w:val="380F4764"/>
    <w:rsid w:val="380F6191"/>
    <w:rsid w:val="38142A15"/>
    <w:rsid w:val="38166E46"/>
    <w:rsid w:val="381A0093"/>
    <w:rsid w:val="383266B3"/>
    <w:rsid w:val="38614D93"/>
    <w:rsid w:val="3863271E"/>
    <w:rsid w:val="386C1CFB"/>
    <w:rsid w:val="38804766"/>
    <w:rsid w:val="388B6EBF"/>
    <w:rsid w:val="388C38C8"/>
    <w:rsid w:val="388E116B"/>
    <w:rsid w:val="388E2E3C"/>
    <w:rsid w:val="388E6306"/>
    <w:rsid w:val="3891144C"/>
    <w:rsid w:val="38A22FF6"/>
    <w:rsid w:val="38A343C3"/>
    <w:rsid w:val="38C927B2"/>
    <w:rsid w:val="38CA0360"/>
    <w:rsid w:val="38CA762F"/>
    <w:rsid w:val="38D02CFA"/>
    <w:rsid w:val="38DA32F7"/>
    <w:rsid w:val="38DC63BC"/>
    <w:rsid w:val="38E40513"/>
    <w:rsid w:val="38E5391E"/>
    <w:rsid w:val="38E73213"/>
    <w:rsid w:val="38F217F7"/>
    <w:rsid w:val="38FA7B59"/>
    <w:rsid w:val="38FF405F"/>
    <w:rsid w:val="39001510"/>
    <w:rsid w:val="391A7C24"/>
    <w:rsid w:val="393853EE"/>
    <w:rsid w:val="393C349F"/>
    <w:rsid w:val="39414A49"/>
    <w:rsid w:val="39422F00"/>
    <w:rsid w:val="39474FFC"/>
    <w:rsid w:val="39485EE8"/>
    <w:rsid w:val="3977722F"/>
    <w:rsid w:val="399A11A1"/>
    <w:rsid w:val="39A12E64"/>
    <w:rsid w:val="39AC270E"/>
    <w:rsid w:val="39AC2D9C"/>
    <w:rsid w:val="39BC72AB"/>
    <w:rsid w:val="39BF0DA5"/>
    <w:rsid w:val="39C14647"/>
    <w:rsid w:val="39E030FB"/>
    <w:rsid w:val="39E551C2"/>
    <w:rsid w:val="3A004EFB"/>
    <w:rsid w:val="3A0239DC"/>
    <w:rsid w:val="3A1D668F"/>
    <w:rsid w:val="3A217875"/>
    <w:rsid w:val="3A225CE3"/>
    <w:rsid w:val="3A280D85"/>
    <w:rsid w:val="3A3C4764"/>
    <w:rsid w:val="3A4748AF"/>
    <w:rsid w:val="3A5A69AC"/>
    <w:rsid w:val="3A5C417E"/>
    <w:rsid w:val="3A651C7C"/>
    <w:rsid w:val="3A71417A"/>
    <w:rsid w:val="3A7473B8"/>
    <w:rsid w:val="3A8C19A6"/>
    <w:rsid w:val="3A985F9F"/>
    <w:rsid w:val="3A9929F2"/>
    <w:rsid w:val="3A9D79B4"/>
    <w:rsid w:val="3AA45EB6"/>
    <w:rsid w:val="3AA60A47"/>
    <w:rsid w:val="3AAE2D52"/>
    <w:rsid w:val="3ABD7DB0"/>
    <w:rsid w:val="3ABE7AAF"/>
    <w:rsid w:val="3AC24EB4"/>
    <w:rsid w:val="3AC60874"/>
    <w:rsid w:val="3AC906BD"/>
    <w:rsid w:val="3AC909EA"/>
    <w:rsid w:val="3ACA79CB"/>
    <w:rsid w:val="3ACD696C"/>
    <w:rsid w:val="3AF15211"/>
    <w:rsid w:val="3AF55289"/>
    <w:rsid w:val="3AF80E99"/>
    <w:rsid w:val="3B0048B4"/>
    <w:rsid w:val="3B13533E"/>
    <w:rsid w:val="3B1D04C9"/>
    <w:rsid w:val="3B27401A"/>
    <w:rsid w:val="3B3F122D"/>
    <w:rsid w:val="3B564493"/>
    <w:rsid w:val="3B567693"/>
    <w:rsid w:val="3B68666D"/>
    <w:rsid w:val="3B7457AD"/>
    <w:rsid w:val="3B7B144D"/>
    <w:rsid w:val="3B7F12F6"/>
    <w:rsid w:val="3B8E2DEE"/>
    <w:rsid w:val="3B920EC0"/>
    <w:rsid w:val="3B924465"/>
    <w:rsid w:val="3B9C5361"/>
    <w:rsid w:val="3BA53541"/>
    <w:rsid w:val="3BA94452"/>
    <w:rsid w:val="3BFC0B7A"/>
    <w:rsid w:val="3C031B6A"/>
    <w:rsid w:val="3C151A6E"/>
    <w:rsid w:val="3C1A13D5"/>
    <w:rsid w:val="3C1F3CDD"/>
    <w:rsid w:val="3C3318F7"/>
    <w:rsid w:val="3C4A7007"/>
    <w:rsid w:val="3C5A7C30"/>
    <w:rsid w:val="3C5B5552"/>
    <w:rsid w:val="3C7A34E1"/>
    <w:rsid w:val="3C7D31D5"/>
    <w:rsid w:val="3C857E1F"/>
    <w:rsid w:val="3C8642A5"/>
    <w:rsid w:val="3C8B2EA4"/>
    <w:rsid w:val="3C98267C"/>
    <w:rsid w:val="3C9A76B6"/>
    <w:rsid w:val="3CA02F85"/>
    <w:rsid w:val="3CA12BA3"/>
    <w:rsid w:val="3CA30E32"/>
    <w:rsid w:val="3CA75790"/>
    <w:rsid w:val="3CAE115E"/>
    <w:rsid w:val="3CB6404C"/>
    <w:rsid w:val="3CC85F33"/>
    <w:rsid w:val="3CCB3008"/>
    <w:rsid w:val="3CFE0386"/>
    <w:rsid w:val="3CFE449C"/>
    <w:rsid w:val="3D004F11"/>
    <w:rsid w:val="3D005676"/>
    <w:rsid w:val="3D0970C8"/>
    <w:rsid w:val="3D145266"/>
    <w:rsid w:val="3D1566A0"/>
    <w:rsid w:val="3D230EF3"/>
    <w:rsid w:val="3D264775"/>
    <w:rsid w:val="3D363D7A"/>
    <w:rsid w:val="3D42795C"/>
    <w:rsid w:val="3D5A0AB6"/>
    <w:rsid w:val="3D5A19A0"/>
    <w:rsid w:val="3D5D4541"/>
    <w:rsid w:val="3D606F86"/>
    <w:rsid w:val="3D6F2596"/>
    <w:rsid w:val="3D753E3B"/>
    <w:rsid w:val="3D7961D3"/>
    <w:rsid w:val="3D811642"/>
    <w:rsid w:val="3D8F6A91"/>
    <w:rsid w:val="3DAD0C31"/>
    <w:rsid w:val="3DBC7DE5"/>
    <w:rsid w:val="3DC16634"/>
    <w:rsid w:val="3DC402A6"/>
    <w:rsid w:val="3DCB2FFC"/>
    <w:rsid w:val="3DCC4627"/>
    <w:rsid w:val="3DD00AF4"/>
    <w:rsid w:val="3DD16176"/>
    <w:rsid w:val="3DD7787E"/>
    <w:rsid w:val="3DE35197"/>
    <w:rsid w:val="3DE87386"/>
    <w:rsid w:val="3DF50B5D"/>
    <w:rsid w:val="3DFB0640"/>
    <w:rsid w:val="3E0061CE"/>
    <w:rsid w:val="3E1A5B77"/>
    <w:rsid w:val="3E3D115C"/>
    <w:rsid w:val="3E4E1DB0"/>
    <w:rsid w:val="3E575439"/>
    <w:rsid w:val="3E5A00F1"/>
    <w:rsid w:val="3E7A1E1B"/>
    <w:rsid w:val="3E816ACA"/>
    <w:rsid w:val="3E85107A"/>
    <w:rsid w:val="3E970AC1"/>
    <w:rsid w:val="3EB25E64"/>
    <w:rsid w:val="3EB57E73"/>
    <w:rsid w:val="3EBA3F51"/>
    <w:rsid w:val="3ECE6FC8"/>
    <w:rsid w:val="3ED90D52"/>
    <w:rsid w:val="3EDA32C4"/>
    <w:rsid w:val="3EE75AFB"/>
    <w:rsid w:val="3EE84598"/>
    <w:rsid w:val="3EFA1463"/>
    <w:rsid w:val="3EFA4950"/>
    <w:rsid w:val="3EFB0DA2"/>
    <w:rsid w:val="3F015166"/>
    <w:rsid w:val="3F15663C"/>
    <w:rsid w:val="3F18630F"/>
    <w:rsid w:val="3F1F4A80"/>
    <w:rsid w:val="3F2D08FC"/>
    <w:rsid w:val="3F304187"/>
    <w:rsid w:val="3F4371E9"/>
    <w:rsid w:val="3F5A272F"/>
    <w:rsid w:val="3F5B25E2"/>
    <w:rsid w:val="3F6438AE"/>
    <w:rsid w:val="3F6444BF"/>
    <w:rsid w:val="3F656A54"/>
    <w:rsid w:val="3F752E9F"/>
    <w:rsid w:val="3F8208BE"/>
    <w:rsid w:val="3F833743"/>
    <w:rsid w:val="3F8413AF"/>
    <w:rsid w:val="3F896205"/>
    <w:rsid w:val="3F8D42EA"/>
    <w:rsid w:val="3F903DF4"/>
    <w:rsid w:val="3F94133E"/>
    <w:rsid w:val="3FA22487"/>
    <w:rsid w:val="3FB16EF0"/>
    <w:rsid w:val="3FBE5D52"/>
    <w:rsid w:val="3FC64FBA"/>
    <w:rsid w:val="3FC677FB"/>
    <w:rsid w:val="3FD2552F"/>
    <w:rsid w:val="3FEB354A"/>
    <w:rsid w:val="3FEC12D8"/>
    <w:rsid w:val="400021A9"/>
    <w:rsid w:val="40071F8E"/>
    <w:rsid w:val="40091D0E"/>
    <w:rsid w:val="40154B29"/>
    <w:rsid w:val="40273EB3"/>
    <w:rsid w:val="402A0BEC"/>
    <w:rsid w:val="40332164"/>
    <w:rsid w:val="40385E0C"/>
    <w:rsid w:val="403917EB"/>
    <w:rsid w:val="404F7A6B"/>
    <w:rsid w:val="40592A16"/>
    <w:rsid w:val="40607B89"/>
    <w:rsid w:val="4061732D"/>
    <w:rsid w:val="40630701"/>
    <w:rsid w:val="406623B1"/>
    <w:rsid w:val="40674790"/>
    <w:rsid w:val="406B17E1"/>
    <w:rsid w:val="40705D5D"/>
    <w:rsid w:val="408B26C8"/>
    <w:rsid w:val="409301A5"/>
    <w:rsid w:val="4093799E"/>
    <w:rsid w:val="40970524"/>
    <w:rsid w:val="40A30E28"/>
    <w:rsid w:val="40AB266E"/>
    <w:rsid w:val="40AC6375"/>
    <w:rsid w:val="40AD2732"/>
    <w:rsid w:val="40BB53F7"/>
    <w:rsid w:val="40C765F3"/>
    <w:rsid w:val="40C83E6D"/>
    <w:rsid w:val="40CB1CD0"/>
    <w:rsid w:val="40D2179A"/>
    <w:rsid w:val="40D310E0"/>
    <w:rsid w:val="40E1213A"/>
    <w:rsid w:val="40E6301D"/>
    <w:rsid w:val="41071BAC"/>
    <w:rsid w:val="41104677"/>
    <w:rsid w:val="411D3E3F"/>
    <w:rsid w:val="411E7076"/>
    <w:rsid w:val="41256FB7"/>
    <w:rsid w:val="41343624"/>
    <w:rsid w:val="4136428A"/>
    <w:rsid w:val="4151503B"/>
    <w:rsid w:val="4154071D"/>
    <w:rsid w:val="41570042"/>
    <w:rsid w:val="415E6D8D"/>
    <w:rsid w:val="41680B02"/>
    <w:rsid w:val="41920E65"/>
    <w:rsid w:val="419C5A30"/>
    <w:rsid w:val="419D110A"/>
    <w:rsid w:val="41AA6F9D"/>
    <w:rsid w:val="41CD1A27"/>
    <w:rsid w:val="41CF3183"/>
    <w:rsid w:val="41D85155"/>
    <w:rsid w:val="41DC1619"/>
    <w:rsid w:val="41E75166"/>
    <w:rsid w:val="41ED54BF"/>
    <w:rsid w:val="41F149C4"/>
    <w:rsid w:val="41FA7589"/>
    <w:rsid w:val="420C7BFF"/>
    <w:rsid w:val="42153CB9"/>
    <w:rsid w:val="42173DAF"/>
    <w:rsid w:val="422C5034"/>
    <w:rsid w:val="422F559A"/>
    <w:rsid w:val="4233275D"/>
    <w:rsid w:val="424020AE"/>
    <w:rsid w:val="424878B4"/>
    <w:rsid w:val="425179DC"/>
    <w:rsid w:val="42706590"/>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740FD"/>
    <w:rsid w:val="42E1559B"/>
    <w:rsid w:val="42F20CDD"/>
    <w:rsid w:val="42F93C76"/>
    <w:rsid w:val="42FF665F"/>
    <w:rsid w:val="430831F4"/>
    <w:rsid w:val="43090B64"/>
    <w:rsid w:val="43102F97"/>
    <w:rsid w:val="431B3263"/>
    <w:rsid w:val="432E7531"/>
    <w:rsid w:val="43421FEF"/>
    <w:rsid w:val="434941B7"/>
    <w:rsid w:val="436551FA"/>
    <w:rsid w:val="43776349"/>
    <w:rsid w:val="437D79B6"/>
    <w:rsid w:val="43A46A86"/>
    <w:rsid w:val="43BA21AA"/>
    <w:rsid w:val="43BD281F"/>
    <w:rsid w:val="43CA6F51"/>
    <w:rsid w:val="43D73E5B"/>
    <w:rsid w:val="43E1610D"/>
    <w:rsid w:val="43E80BE6"/>
    <w:rsid w:val="43EB45DA"/>
    <w:rsid w:val="43EE5166"/>
    <w:rsid w:val="43F57DBA"/>
    <w:rsid w:val="44067BEC"/>
    <w:rsid w:val="440A2EF6"/>
    <w:rsid w:val="440E223D"/>
    <w:rsid w:val="441D43D4"/>
    <w:rsid w:val="44215206"/>
    <w:rsid w:val="442C702D"/>
    <w:rsid w:val="4431006B"/>
    <w:rsid w:val="44326FB5"/>
    <w:rsid w:val="443E1A69"/>
    <w:rsid w:val="445D7409"/>
    <w:rsid w:val="44707017"/>
    <w:rsid w:val="4474621B"/>
    <w:rsid w:val="44765C62"/>
    <w:rsid w:val="44813B55"/>
    <w:rsid w:val="44995C31"/>
    <w:rsid w:val="44AC3C12"/>
    <w:rsid w:val="44B2766E"/>
    <w:rsid w:val="44C82F04"/>
    <w:rsid w:val="44CC2B6C"/>
    <w:rsid w:val="44E0180C"/>
    <w:rsid w:val="44E51801"/>
    <w:rsid w:val="44ED06E5"/>
    <w:rsid w:val="44F315BC"/>
    <w:rsid w:val="44F36316"/>
    <w:rsid w:val="451039AB"/>
    <w:rsid w:val="452E357E"/>
    <w:rsid w:val="45336C24"/>
    <w:rsid w:val="45354401"/>
    <w:rsid w:val="453C3C02"/>
    <w:rsid w:val="453D01E5"/>
    <w:rsid w:val="454A0FCA"/>
    <w:rsid w:val="45605650"/>
    <w:rsid w:val="45811728"/>
    <w:rsid w:val="45834801"/>
    <w:rsid w:val="458B617D"/>
    <w:rsid w:val="458D0B6B"/>
    <w:rsid w:val="458F4D24"/>
    <w:rsid w:val="459461EA"/>
    <w:rsid w:val="459C5BD8"/>
    <w:rsid w:val="45A36544"/>
    <w:rsid w:val="45A91BE1"/>
    <w:rsid w:val="45AA59A9"/>
    <w:rsid w:val="45B01F58"/>
    <w:rsid w:val="45B20B88"/>
    <w:rsid w:val="45B5636D"/>
    <w:rsid w:val="45C12874"/>
    <w:rsid w:val="45D35459"/>
    <w:rsid w:val="45D46A79"/>
    <w:rsid w:val="45DB4490"/>
    <w:rsid w:val="45E83E5F"/>
    <w:rsid w:val="45E86B72"/>
    <w:rsid w:val="45ED56E7"/>
    <w:rsid w:val="45F60A50"/>
    <w:rsid w:val="45F800DB"/>
    <w:rsid w:val="46036BC7"/>
    <w:rsid w:val="461C511A"/>
    <w:rsid w:val="462778C6"/>
    <w:rsid w:val="46282E28"/>
    <w:rsid w:val="46462F04"/>
    <w:rsid w:val="46545EC0"/>
    <w:rsid w:val="46554BE7"/>
    <w:rsid w:val="4658069B"/>
    <w:rsid w:val="465B1E86"/>
    <w:rsid w:val="465E648A"/>
    <w:rsid w:val="46604D97"/>
    <w:rsid w:val="467847A0"/>
    <w:rsid w:val="467D17CB"/>
    <w:rsid w:val="467D7DD7"/>
    <w:rsid w:val="46830DA3"/>
    <w:rsid w:val="4697740A"/>
    <w:rsid w:val="46C6208F"/>
    <w:rsid w:val="46DA12C7"/>
    <w:rsid w:val="46E902C3"/>
    <w:rsid w:val="46EF544C"/>
    <w:rsid w:val="46F714E0"/>
    <w:rsid w:val="46F91A62"/>
    <w:rsid w:val="471B5457"/>
    <w:rsid w:val="471C6A14"/>
    <w:rsid w:val="471D28E4"/>
    <w:rsid w:val="473010D7"/>
    <w:rsid w:val="4732695E"/>
    <w:rsid w:val="47334610"/>
    <w:rsid w:val="47525277"/>
    <w:rsid w:val="4753781A"/>
    <w:rsid w:val="475B5E1A"/>
    <w:rsid w:val="478A1DFA"/>
    <w:rsid w:val="47927375"/>
    <w:rsid w:val="47971FDC"/>
    <w:rsid w:val="479D1728"/>
    <w:rsid w:val="47A928F1"/>
    <w:rsid w:val="47C806EC"/>
    <w:rsid w:val="47F0637D"/>
    <w:rsid w:val="47F40E9D"/>
    <w:rsid w:val="48125136"/>
    <w:rsid w:val="481C0CDA"/>
    <w:rsid w:val="481C6030"/>
    <w:rsid w:val="48252F6B"/>
    <w:rsid w:val="482C6CD1"/>
    <w:rsid w:val="483E6C5F"/>
    <w:rsid w:val="4853345A"/>
    <w:rsid w:val="48553518"/>
    <w:rsid w:val="485A127C"/>
    <w:rsid w:val="485F5D85"/>
    <w:rsid w:val="48622F87"/>
    <w:rsid w:val="48782922"/>
    <w:rsid w:val="48845C84"/>
    <w:rsid w:val="48914098"/>
    <w:rsid w:val="48973F32"/>
    <w:rsid w:val="489C44D3"/>
    <w:rsid w:val="489F483A"/>
    <w:rsid w:val="48BC4A2A"/>
    <w:rsid w:val="48C82BE2"/>
    <w:rsid w:val="48CE17E0"/>
    <w:rsid w:val="48DE1DC6"/>
    <w:rsid w:val="48DF2798"/>
    <w:rsid w:val="48F82FC3"/>
    <w:rsid w:val="490351F3"/>
    <w:rsid w:val="49095F7E"/>
    <w:rsid w:val="490D059B"/>
    <w:rsid w:val="490D3059"/>
    <w:rsid w:val="491C2233"/>
    <w:rsid w:val="492F6EA2"/>
    <w:rsid w:val="49317DE6"/>
    <w:rsid w:val="493243B6"/>
    <w:rsid w:val="494A394A"/>
    <w:rsid w:val="494C1910"/>
    <w:rsid w:val="49500FEB"/>
    <w:rsid w:val="49751781"/>
    <w:rsid w:val="4976679A"/>
    <w:rsid w:val="4982678C"/>
    <w:rsid w:val="498B4DDE"/>
    <w:rsid w:val="49982D33"/>
    <w:rsid w:val="499F4C2E"/>
    <w:rsid w:val="49A47839"/>
    <w:rsid w:val="49B2576C"/>
    <w:rsid w:val="49C4340C"/>
    <w:rsid w:val="49C4368E"/>
    <w:rsid w:val="49C46503"/>
    <w:rsid w:val="49CA57C6"/>
    <w:rsid w:val="49DD7EFB"/>
    <w:rsid w:val="49E077A2"/>
    <w:rsid w:val="49E50084"/>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9738B"/>
    <w:rsid w:val="4A6D16EF"/>
    <w:rsid w:val="4A7C4548"/>
    <w:rsid w:val="4A863BCC"/>
    <w:rsid w:val="4A8E1463"/>
    <w:rsid w:val="4A95327B"/>
    <w:rsid w:val="4AAB5D97"/>
    <w:rsid w:val="4AB043A7"/>
    <w:rsid w:val="4AC15779"/>
    <w:rsid w:val="4AC66745"/>
    <w:rsid w:val="4ACF3B43"/>
    <w:rsid w:val="4AD202C9"/>
    <w:rsid w:val="4ADE2C90"/>
    <w:rsid w:val="4AEE031F"/>
    <w:rsid w:val="4AEE473A"/>
    <w:rsid w:val="4AF03277"/>
    <w:rsid w:val="4B2A6621"/>
    <w:rsid w:val="4B354AAC"/>
    <w:rsid w:val="4B3D6072"/>
    <w:rsid w:val="4B3F449C"/>
    <w:rsid w:val="4B5B5B93"/>
    <w:rsid w:val="4B7606DB"/>
    <w:rsid w:val="4B7F2D98"/>
    <w:rsid w:val="4B850E6F"/>
    <w:rsid w:val="4B8D7E6C"/>
    <w:rsid w:val="4B901389"/>
    <w:rsid w:val="4B956F5E"/>
    <w:rsid w:val="4B986207"/>
    <w:rsid w:val="4B987896"/>
    <w:rsid w:val="4B9969CA"/>
    <w:rsid w:val="4BA04F33"/>
    <w:rsid w:val="4BBF3E20"/>
    <w:rsid w:val="4BC05ECF"/>
    <w:rsid w:val="4BD05051"/>
    <w:rsid w:val="4BD505B4"/>
    <w:rsid w:val="4BE44723"/>
    <w:rsid w:val="4BE96D5A"/>
    <w:rsid w:val="4BF54BAD"/>
    <w:rsid w:val="4BF66867"/>
    <w:rsid w:val="4BFE2AE1"/>
    <w:rsid w:val="4C054590"/>
    <w:rsid w:val="4C0C6994"/>
    <w:rsid w:val="4C292792"/>
    <w:rsid w:val="4C2C30BE"/>
    <w:rsid w:val="4C2C46A1"/>
    <w:rsid w:val="4C3A2A9D"/>
    <w:rsid w:val="4C5A4EBB"/>
    <w:rsid w:val="4C5D2EB7"/>
    <w:rsid w:val="4C662364"/>
    <w:rsid w:val="4C6B32F7"/>
    <w:rsid w:val="4C6B7F97"/>
    <w:rsid w:val="4C7C3579"/>
    <w:rsid w:val="4C870899"/>
    <w:rsid w:val="4C8A164A"/>
    <w:rsid w:val="4C8B5DCD"/>
    <w:rsid w:val="4C8D7B0E"/>
    <w:rsid w:val="4C984AEE"/>
    <w:rsid w:val="4CAB3057"/>
    <w:rsid w:val="4CB629EB"/>
    <w:rsid w:val="4CBD15B4"/>
    <w:rsid w:val="4CBF03D6"/>
    <w:rsid w:val="4CC552E2"/>
    <w:rsid w:val="4CFE4516"/>
    <w:rsid w:val="4CFF6DF1"/>
    <w:rsid w:val="4D014AEF"/>
    <w:rsid w:val="4D105B68"/>
    <w:rsid w:val="4D1E3273"/>
    <w:rsid w:val="4D2204B2"/>
    <w:rsid w:val="4D28720C"/>
    <w:rsid w:val="4D49433F"/>
    <w:rsid w:val="4D4E7696"/>
    <w:rsid w:val="4D513299"/>
    <w:rsid w:val="4D5E3588"/>
    <w:rsid w:val="4D680CE9"/>
    <w:rsid w:val="4D6F30CD"/>
    <w:rsid w:val="4D800373"/>
    <w:rsid w:val="4D8D2AE5"/>
    <w:rsid w:val="4D901F00"/>
    <w:rsid w:val="4D9A77EC"/>
    <w:rsid w:val="4D9D5F78"/>
    <w:rsid w:val="4D9E74D1"/>
    <w:rsid w:val="4DA22392"/>
    <w:rsid w:val="4DBC2EE2"/>
    <w:rsid w:val="4DBE5704"/>
    <w:rsid w:val="4DEC4B69"/>
    <w:rsid w:val="4DF96CBC"/>
    <w:rsid w:val="4E0F493A"/>
    <w:rsid w:val="4E171ADD"/>
    <w:rsid w:val="4E22193F"/>
    <w:rsid w:val="4E3A3C9A"/>
    <w:rsid w:val="4E4C233E"/>
    <w:rsid w:val="4E6467C3"/>
    <w:rsid w:val="4E734EFF"/>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93682"/>
    <w:rsid w:val="4F0B4D90"/>
    <w:rsid w:val="4F0D1ACC"/>
    <w:rsid w:val="4F186AC1"/>
    <w:rsid w:val="4F1E2479"/>
    <w:rsid w:val="4F241A7B"/>
    <w:rsid w:val="4F450CCE"/>
    <w:rsid w:val="4F5B4AF3"/>
    <w:rsid w:val="4F670186"/>
    <w:rsid w:val="4F6E77B9"/>
    <w:rsid w:val="4F7932B9"/>
    <w:rsid w:val="4F79613F"/>
    <w:rsid w:val="4F7A3958"/>
    <w:rsid w:val="4F813AF7"/>
    <w:rsid w:val="4F823122"/>
    <w:rsid w:val="4F865BE9"/>
    <w:rsid w:val="4FA1011C"/>
    <w:rsid w:val="4FA5289F"/>
    <w:rsid w:val="4FA839BE"/>
    <w:rsid w:val="4FAA4536"/>
    <w:rsid w:val="4FB13BE4"/>
    <w:rsid w:val="4FBD6EC5"/>
    <w:rsid w:val="4FBF1AB2"/>
    <w:rsid w:val="4FC02A9C"/>
    <w:rsid w:val="4FD419FE"/>
    <w:rsid w:val="4FD74E40"/>
    <w:rsid w:val="4FE42B9D"/>
    <w:rsid w:val="4FE42D47"/>
    <w:rsid w:val="4FEE175C"/>
    <w:rsid w:val="4FEF4F4B"/>
    <w:rsid w:val="4FF123BA"/>
    <w:rsid w:val="500E557E"/>
    <w:rsid w:val="50150A2D"/>
    <w:rsid w:val="50273D9F"/>
    <w:rsid w:val="503415A0"/>
    <w:rsid w:val="503A29A5"/>
    <w:rsid w:val="503B15B6"/>
    <w:rsid w:val="50413B4E"/>
    <w:rsid w:val="504A5F6D"/>
    <w:rsid w:val="504B661D"/>
    <w:rsid w:val="504D266B"/>
    <w:rsid w:val="504E5AC6"/>
    <w:rsid w:val="505076EF"/>
    <w:rsid w:val="505D5B88"/>
    <w:rsid w:val="505F3BD5"/>
    <w:rsid w:val="50712488"/>
    <w:rsid w:val="50757347"/>
    <w:rsid w:val="507820B7"/>
    <w:rsid w:val="508A0B34"/>
    <w:rsid w:val="50923BDB"/>
    <w:rsid w:val="509A0302"/>
    <w:rsid w:val="509B767D"/>
    <w:rsid w:val="50BE437A"/>
    <w:rsid w:val="50C953D1"/>
    <w:rsid w:val="50E042AF"/>
    <w:rsid w:val="50E77A58"/>
    <w:rsid w:val="50EB7D9F"/>
    <w:rsid w:val="51041EDF"/>
    <w:rsid w:val="510F112C"/>
    <w:rsid w:val="511836CB"/>
    <w:rsid w:val="51394C04"/>
    <w:rsid w:val="513C5648"/>
    <w:rsid w:val="515143AB"/>
    <w:rsid w:val="515A17DC"/>
    <w:rsid w:val="51651E90"/>
    <w:rsid w:val="51685DFA"/>
    <w:rsid w:val="51705953"/>
    <w:rsid w:val="51725D98"/>
    <w:rsid w:val="51736098"/>
    <w:rsid w:val="517B7B1C"/>
    <w:rsid w:val="518C69D5"/>
    <w:rsid w:val="519723EC"/>
    <w:rsid w:val="51B14BED"/>
    <w:rsid w:val="51C407B0"/>
    <w:rsid w:val="51C71898"/>
    <w:rsid w:val="51CA5B6B"/>
    <w:rsid w:val="51EE252C"/>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73227D"/>
    <w:rsid w:val="52784DDC"/>
    <w:rsid w:val="52840D9F"/>
    <w:rsid w:val="52963B66"/>
    <w:rsid w:val="529C732E"/>
    <w:rsid w:val="52A07902"/>
    <w:rsid w:val="52AC16F5"/>
    <w:rsid w:val="52D25D28"/>
    <w:rsid w:val="52D71166"/>
    <w:rsid w:val="52E60C81"/>
    <w:rsid w:val="52FF3969"/>
    <w:rsid w:val="530957E9"/>
    <w:rsid w:val="531E2281"/>
    <w:rsid w:val="53793823"/>
    <w:rsid w:val="537B7A51"/>
    <w:rsid w:val="53851D77"/>
    <w:rsid w:val="538A3CE3"/>
    <w:rsid w:val="53906F76"/>
    <w:rsid w:val="539874D1"/>
    <w:rsid w:val="53A900B3"/>
    <w:rsid w:val="53AA2BCF"/>
    <w:rsid w:val="53BE4BF9"/>
    <w:rsid w:val="53D37BF3"/>
    <w:rsid w:val="53D43A38"/>
    <w:rsid w:val="53D65728"/>
    <w:rsid w:val="53DB0569"/>
    <w:rsid w:val="53FE42EB"/>
    <w:rsid w:val="53FF3ABE"/>
    <w:rsid w:val="54175BE1"/>
    <w:rsid w:val="54192F65"/>
    <w:rsid w:val="543770F8"/>
    <w:rsid w:val="543B6EBE"/>
    <w:rsid w:val="5445166E"/>
    <w:rsid w:val="544F3BE9"/>
    <w:rsid w:val="54632332"/>
    <w:rsid w:val="546A5504"/>
    <w:rsid w:val="546F0D2A"/>
    <w:rsid w:val="54706638"/>
    <w:rsid w:val="547236DF"/>
    <w:rsid w:val="547B4986"/>
    <w:rsid w:val="54837C53"/>
    <w:rsid w:val="548D1E83"/>
    <w:rsid w:val="54944CE7"/>
    <w:rsid w:val="549555A5"/>
    <w:rsid w:val="549E7BA6"/>
    <w:rsid w:val="54AF6E20"/>
    <w:rsid w:val="54D62DF7"/>
    <w:rsid w:val="54E95C39"/>
    <w:rsid w:val="54F54ADE"/>
    <w:rsid w:val="54FC00A7"/>
    <w:rsid w:val="551B4BD7"/>
    <w:rsid w:val="552A54CB"/>
    <w:rsid w:val="553426D6"/>
    <w:rsid w:val="55436523"/>
    <w:rsid w:val="5544604E"/>
    <w:rsid w:val="554575FA"/>
    <w:rsid w:val="55496DF8"/>
    <w:rsid w:val="554E1565"/>
    <w:rsid w:val="555125B1"/>
    <w:rsid w:val="55545557"/>
    <w:rsid w:val="556A455B"/>
    <w:rsid w:val="5580084F"/>
    <w:rsid w:val="558401B5"/>
    <w:rsid w:val="55852483"/>
    <w:rsid w:val="55860F3C"/>
    <w:rsid w:val="559D2106"/>
    <w:rsid w:val="55AD491E"/>
    <w:rsid w:val="55AD541E"/>
    <w:rsid w:val="55B027EB"/>
    <w:rsid w:val="55BB1EE0"/>
    <w:rsid w:val="55BC338C"/>
    <w:rsid w:val="55BC4A2C"/>
    <w:rsid w:val="55BE2F7C"/>
    <w:rsid w:val="55C232F1"/>
    <w:rsid w:val="55CA20E9"/>
    <w:rsid w:val="55E12C81"/>
    <w:rsid w:val="55ED23C7"/>
    <w:rsid w:val="55F911F4"/>
    <w:rsid w:val="55FC080B"/>
    <w:rsid w:val="560C0036"/>
    <w:rsid w:val="56106B23"/>
    <w:rsid w:val="561D279B"/>
    <w:rsid w:val="56300862"/>
    <w:rsid w:val="563064F8"/>
    <w:rsid w:val="563279D7"/>
    <w:rsid w:val="563B5487"/>
    <w:rsid w:val="563B7254"/>
    <w:rsid w:val="563B762E"/>
    <w:rsid w:val="563C5184"/>
    <w:rsid w:val="565207DC"/>
    <w:rsid w:val="565631F5"/>
    <w:rsid w:val="566B26ED"/>
    <w:rsid w:val="566D297A"/>
    <w:rsid w:val="56803118"/>
    <w:rsid w:val="56895945"/>
    <w:rsid w:val="568E12A1"/>
    <w:rsid w:val="56915A65"/>
    <w:rsid w:val="56A63821"/>
    <w:rsid w:val="56AA0A07"/>
    <w:rsid w:val="56AA6DC0"/>
    <w:rsid w:val="56C37D63"/>
    <w:rsid w:val="56C44CD3"/>
    <w:rsid w:val="56D62670"/>
    <w:rsid w:val="56D75436"/>
    <w:rsid w:val="56DB045D"/>
    <w:rsid w:val="56E17FE8"/>
    <w:rsid w:val="56E83A21"/>
    <w:rsid w:val="57050C83"/>
    <w:rsid w:val="57055BD6"/>
    <w:rsid w:val="57213FE5"/>
    <w:rsid w:val="572D67AB"/>
    <w:rsid w:val="573F708F"/>
    <w:rsid w:val="57435BFF"/>
    <w:rsid w:val="575426FE"/>
    <w:rsid w:val="575F25E8"/>
    <w:rsid w:val="576B65C3"/>
    <w:rsid w:val="576D7C54"/>
    <w:rsid w:val="578177D3"/>
    <w:rsid w:val="57AA7E41"/>
    <w:rsid w:val="57AC0C0D"/>
    <w:rsid w:val="57BC04B5"/>
    <w:rsid w:val="57C166D8"/>
    <w:rsid w:val="57C54F8E"/>
    <w:rsid w:val="57D82681"/>
    <w:rsid w:val="57DD37B2"/>
    <w:rsid w:val="57DE7DC1"/>
    <w:rsid w:val="57E3333D"/>
    <w:rsid w:val="57E76382"/>
    <w:rsid w:val="57E879C4"/>
    <w:rsid w:val="57EF0F97"/>
    <w:rsid w:val="57F17A1A"/>
    <w:rsid w:val="580C4CA5"/>
    <w:rsid w:val="58175C49"/>
    <w:rsid w:val="581B09AF"/>
    <w:rsid w:val="582736FC"/>
    <w:rsid w:val="582E227B"/>
    <w:rsid w:val="58313520"/>
    <w:rsid w:val="583C79A9"/>
    <w:rsid w:val="583D0933"/>
    <w:rsid w:val="584677BD"/>
    <w:rsid w:val="584A6CDD"/>
    <w:rsid w:val="584F7488"/>
    <w:rsid w:val="58525E77"/>
    <w:rsid w:val="585D5B14"/>
    <w:rsid w:val="58627D10"/>
    <w:rsid w:val="5872028B"/>
    <w:rsid w:val="588459A1"/>
    <w:rsid w:val="588F2A57"/>
    <w:rsid w:val="58983966"/>
    <w:rsid w:val="589E3B99"/>
    <w:rsid w:val="589F3533"/>
    <w:rsid w:val="58AC162C"/>
    <w:rsid w:val="58CA78F9"/>
    <w:rsid w:val="58D46D1B"/>
    <w:rsid w:val="58EB54CA"/>
    <w:rsid w:val="58F5414C"/>
    <w:rsid w:val="58FF6291"/>
    <w:rsid w:val="590B15D2"/>
    <w:rsid w:val="590B7B6A"/>
    <w:rsid w:val="59143609"/>
    <w:rsid w:val="59235D2C"/>
    <w:rsid w:val="592C48F9"/>
    <w:rsid w:val="593261D2"/>
    <w:rsid w:val="59423730"/>
    <w:rsid w:val="59453D6E"/>
    <w:rsid w:val="59506815"/>
    <w:rsid w:val="59517F98"/>
    <w:rsid w:val="59586CE1"/>
    <w:rsid w:val="595A6E9E"/>
    <w:rsid w:val="597D7E81"/>
    <w:rsid w:val="597E00DF"/>
    <w:rsid w:val="5980128D"/>
    <w:rsid w:val="599935B0"/>
    <w:rsid w:val="59B9269D"/>
    <w:rsid w:val="59BB2A6E"/>
    <w:rsid w:val="59C61854"/>
    <w:rsid w:val="59E6424E"/>
    <w:rsid w:val="59E81791"/>
    <w:rsid w:val="59F6397D"/>
    <w:rsid w:val="59FB6BE2"/>
    <w:rsid w:val="5A026E4D"/>
    <w:rsid w:val="5A06033D"/>
    <w:rsid w:val="5A0E79AC"/>
    <w:rsid w:val="5A0F0265"/>
    <w:rsid w:val="5A123B05"/>
    <w:rsid w:val="5A142254"/>
    <w:rsid w:val="5A3773BC"/>
    <w:rsid w:val="5A496BD5"/>
    <w:rsid w:val="5A4B2EA3"/>
    <w:rsid w:val="5A540438"/>
    <w:rsid w:val="5A5E7743"/>
    <w:rsid w:val="5A604DB4"/>
    <w:rsid w:val="5A6934B1"/>
    <w:rsid w:val="5A8D4FC0"/>
    <w:rsid w:val="5A8F1C82"/>
    <w:rsid w:val="5A952381"/>
    <w:rsid w:val="5AA04D8D"/>
    <w:rsid w:val="5AA333BB"/>
    <w:rsid w:val="5AB53D99"/>
    <w:rsid w:val="5ABD694F"/>
    <w:rsid w:val="5AC4773A"/>
    <w:rsid w:val="5ACF620B"/>
    <w:rsid w:val="5AD85D6C"/>
    <w:rsid w:val="5AE9560E"/>
    <w:rsid w:val="5AFF5DE6"/>
    <w:rsid w:val="5B09001B"/>
    <w:rsid w:val="5B111BFC"/>
    <w:rsid w:val="5B1D47A6"/>
    <w:rsid w:val="5B1E6976"/>
    <w:rsid w:val="5B2500BB"/>
    <w:rsid w:val="5B2F4CAA"/>
    <w:rsid w:val="5B372BFB"/>
    <w:rsid w:val="5B373ECC"/>
    <w:rsid w:val="5B4026E8"/>
    <w:rsid w:val="5B4516CD"/>
    <w:rsid w:val="5B482E24"/>
    <w:rsid w:val="5B486DCE"/>
    <w:rsid w:val="5B5A4228"/>
    <w:rsid w:val="5B5C727B"/>
    <w:rsid w:val="5B686AC1"/>
    <w:rsid w:val="5B853A54"/>
    <w:rsid w:val="5B8B1199"/>
    <w:rsid w:val="5B9D08DB"/>
    <w:rsid w:val="5BA92534"/>
    <w:rsid w:val="5BAD5A86"/>
    <w:rsid w:val="5BC937CE"/>
    <w:rsid w:val="5BCD41C3"/>
    <w:rsid w:val="5BD429A6"/>
    <w:rsid w:val="5C0025C0"/>
    <w:rsid w:val="5C0547A9"/>
    <w:rsid w:val="5C0B0C40"/>
    <w:rsid w:val="5C102B71"/>
    <w:rsid w:val="5C180007"/>
    <w:rsid w:val="5C5220EF"/>
    <w:rsid w:val="5C64023D"/>
    <w:rsid w:val="5C6D1CB7"/>
    <w:rsid w:val="5C731C61"/>
    <w:rsid w:val="5C7625DE"/>
    <w:rsid w:val="5C8005B3"/>
    <w:rsid w:val="5C8359EE"/>
    <w:rsid w:val="5C8F7140"/>
    <w:rsid w:val="5C9050DF"/>
    <w:rsid w:val="5C944C11"/>
    <w:rsid w:val="5C9A4DB7"/>
    <w:rsid w:val="5CA00536"/>
    <w:rsid w:val="5CB62EF3"/>
    <w:rsid w:val="5CC016AB"/>
    <w:rsid w:val="5CC453C1"/>
    <w:rsid w:val="5CCF2B7B"/>
    <w:rsid w:val="5CE07B6A"/>
    <w:rsid w:val="5CE260C2"/>
    <w:rsid w:val="5CE61EE8"/>
    <w:rsid w:val="5D0728CF"/>
    <w:rsid w:val="5D1A01CE"/>
    <w:rsid w:val="5D1A39EE"/>
    <w:rsid w:val="5D1A4702"/>
    <w:rsid w:val="5D280F3C"/>
    <w:rsid w:val="5D3B1C0C"/>
    <w:rsid w:val="5D411FCB"/>
    <w:rsid w:val="5D464EF5"/>
    <w:rsid w:val="5D494B70"/>
    <w:rsid w:val="5D583ECC"/>
    <w:rsid w:val="5D5C7688"/>
    <w:rsid w:val="5D615C0F"/>
    <w:rsid w:val="5D762C66"/>
    <w:rsid w:val="5D844DB8"/>
    <w:rsid w:val="5D865E73"/>
    <w:rsid w:val="5D9E6314"/>
    <w:rsid w:val="5D9F7EE8"/>
    <w:rsid w:val="5DA93319"/>
    <w:rsid w:val="5DB156E1"/>
    <w:rsid w:val="5DC32CBB"/>
    <w:rsid w:val="5DC937A1"/>
    <w:rsid w:val="5DD65619"/>
    <w:rsid w:val="5DEF6B62"/>
    <w:rsid w:val="5DF47982"/>
    <w:rsid w:val="5E002949"/>
    <w:rsid w:val="5E0C5358"/>
    <w:rsid w:val="5E0E66F5"/>
    <w:rsid w:val="5E224225"/>
    <w:rsid w:val="5E2732CD"/>
    <w:rsid w:val="5E284D50"/>
    <w:rsid w:val="5E294B38"/>
    <w:rsid w:val="5E336F39"/>
    <w:rsid w:val="5E3723C6"/>
    <w:rsid w:val="5E392F19"/>
    <w:rsid w:val="5E4473E0"/>
    <w:rsid w:val="5E6A7415"/>
    <w:rsid w:val="5E723BE9"/>
    <w:rsid w:val="5E7464E9"/>
    <w:rsid w:val="5E7E4092"/>
    <w:rsid w:val="5E8E6492"/>
    <w:rsid w:val="5E923ECD"/>
    <w:rsid w:val="5E9D190F"/>
    <w:rsid w:val="5EA66D3F"/>
    <w:rsid w:val="5EB073FD"/>
    <w:rsid w:val="5EC00B79"/>
    <w:rsid w:val="5ED45A4D"/>
    <w:rsid w:val="5ED575CE"/>
    <w:rsid w:val="5ED871EF"/>
    <w:rsid w:val="5EF5653C"/>
    <w:rsid w:val="5EFF2762"/>
    <w:rsid w:val="5F013AC4"/>
    <w:rsid w:val="5F04138D"/>
    <w:rsid w:val="5F045F3A"/>
    <w:rsid w:val="5F0D4F43"/>
    <w:rsid w:val="5F0D642C"/>
    <w:rsid w:val="5F10278B"/>
    <w:rsid w:val="5F17008D"/>
    <w:rsid w:val="5F1C252E"/>
    <w:rsid w:val="5F1C3DD8"/>
    <w:rsid w:val="5F1D7227"/>
    <w:rsid w:val="5F1E62AD"/>
    <w:rsid w:val="5F3C716D"/>
    <w:rsid w:val="5F467922"/>
    <w:rsid w:val="5F4F4D0F"/>
    <w:rsid w:val="5F524839"/>
    <w:rsid w:val="5F5B59FB"/>
    <w:rsid w:val="5F5B6985"/>
    <w:rsid w:val="5F5D54F4"/>
    <w:rsid w:val="5F5F081B"/>
    <w:rsid w:val="5F704D56"/>
    <w:rsid w:val="5F777336"/>
    <w:rsid w:val="5F862DF9"/>
    <w:rsid w:val="5FA257C6"/>
    <w:rsid w:val="5FAF7822"/>
    <w:rsid w:val="5FB05672"/>
    <w:rsid w:val="5FB30C74"/>
    <w:rsid w:val="5FB47FA0"/>
    <w:rsid w:val="5FB50525"/>
    <w:rsid w:val="5FB57D4D"/>
    <w:rsid w:val="5FC6541D"/>
    <w:rsid w:val="5FCD3868"/>
    <w:rsid w:val="5FEE3BAD"/>
    <w:rsid w:val="5FEF541F"/>
    <w:rsid w:val="5FF20BF7"/>
    <w:rsid w:val="5FF450F9"/>
    <w:rsid w:val="60085D9F"/>
    <w:rsid w:val="60127166"/>
    <w:rsid w:val="601E7125"/>
    <w:rsid w:val="60205F90"/>
    <w:rsid w:val="60217FCF"/>
    <w:rsid w:val="603F6E4B"/>
    <w:rsid w:val="60417604"/>
    <w:rsid w:val="604D1512"/>
    <w:rsid w:val="60512BA9"/>
    <w:rsid w:val="60595131"/>
    <w:rsid w:val="60611B77"/>
    <w:rsid w:val="6061371C"/>
    <w:rsid w:val="606B5631"/>
    <w:rsid w:val="606D2E98"/>
    <w:rsid w:val="606F0967"/>
    <w:rsid w:val="607540C8"/>
    <w:rsid w:val="60835320"/>
    <w:rsid w:val="608E2F6C"/>
    <w:rsid w:val="60BF382B"/>
    <w:rsid w:val="60C75F81"/>
    <w:rsid w:val="60C816A5"/>
    <w:rsid w:val="60CC3DDB"/>
    <w:rsid w:val="60D96448"/>
    <w:rsid w:val="60DC4E84"/>
    <w:rsid w:val="60EC3C37"/>
    <w:rsid w:val="60F71F40"/>
    <w:rsid w:val="60FB2835"/>
    <w:rsid w:val="61247218"/>
    <w:rsid w:val="61283D68"/>
    <w:rsid w:val="613D07C4"/>
    <w:rsid w:val="615C0F34"/>
    <w:rsid w:val="615C14A6"/>
    <w:rsid w:val="615F6AC2"/>
    <w:rsid w:val="61672ABF"/>
    <w:rsid w:val="617A5318"/>
    <w:rsid w:val="617C1D66"/>
    <w:rsid w:val="617D06DE"/>
    <w:rsid w:val="618B3212"/>
    <w:rsid w:val="61964409"/>
    <w:rsid w:val="61A058F7"/>
    <w:rsid w:val="61A93693"/>
    <w:rsid w:val="61B66917"/>
    <w:rsid w:val="61BC3B1A"/>
    <w:rsid w:val="61CD4121"/>
    <w:rsid w:val="61E107FF"/>
    <w:rsid w:val="61EB22DA"/>
    <w:rsid w:val="61F2159D"/>
    <w:rsid w:val="61F4098A"/>
    <w:rsid w:val="61F9363E"/>
    <w:rsid w:val="62000D90"/>
    <w:rsid w:val="62007857"/>
    <w:rsid w:val="62024A46"/>
    <w:rsid w:val="62082A4E"/>
    <w:rsid w:val="62210F07"/>
    <w:rsid w:val="62265EC9"/>
    <w:rsid w:val="622D2F94"/>
    <w:rsid w:val="6232252A"/>
    <w:rsid w:val="6239245F"/>
    <w:rsid w:val="623A1909"/>
    <w:rsid w:val="623C28E2"/>
    <w:rsid w:val="623F05F8"/>
    <w:rsid w:val="623F6F5B"/>
    <w:rsid w:val="626A3683"/>
    <w:rsid w:val="626D6E03"/>
    <w:rsid w:val="627516A4"/>
    <w:rsid w:val="627B3D98"/>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50B7E"/>
    <w:rsid w:val="6367085D"/>
    <w:rsid w:val="636A45E1"/>
    <w:rsid w:val="637543E9"/>
    <w:rsid w:val="637947A5"/>
    <w:rsid w:val="638B06F2"/>
    <w:rsid w:val="638E6D4D"/>
    <w:rsid w:val="639F386A"/>
    <w:rsid w:val="63A32F36"/>
    <w:rsid w:val="63A61500"/>
    <w:rsid w:val="63AB7DA8"/>
    <w:rsid w:val="63BD4B8F"/>
    <w:rsid w:val="63C82D94"/>
    <w:rsid w:val="63D0005D"/>
    <w:rsid w:val="63D15554"/>
    <w:rsid w:val="63D81C8F"/>
    <w:rsid w:val="63DE5D65"/>
    <w:rsid w:val="63DF6605"/>
    <w:rsid w:val="63E23D45"/>
    <w:rsid w:val="63F95413"/>
    <w:rsid w:val="64097EB3"/>
    <w:rsid w:val="64337DBE"/>
    <w:rsid w:val="643451D3"/>
    <w:rsid w:val="643F6D4B"/>
    <w:rsid w:val="64456269"/>
    <w:rsid w:val="64467B93"/>
    <w:rsid w:val="645018E6"/>
    <w:rsid w:val="64511EDE"/>
    <w:rsid w:val="645A20B6"/>
    <w:rsid w:val="64630D1E"/>
    <w:rsid w:val="6478176D"/>
    <w:rsid w:val="64813F51"/>
    <w:rsid w:val="64835CDD"/>
    <w:rsid w:val="6486251A"/>
    <w:rsid w:val="64900E0A"/>
    <w:rsid w:val="64AB2A66"/>
    <w:rsid w:val="64B7605C"/>
    <w:rsid w:val="64BD6580"/>
    <w:rsid w:val="64DA5521"/>
    <w:rsid w:val="64E205AE"/>
    <w:rsid w:val="64E93EF1"/>
    <w:rsid w:val="64F17473"/>
    <w:rsid w:val="65026BCD"/>
    <w:rsid w:val="65076276"/>
    <w:rsid w:val="650D3C56"/>
    <w:rsid w:val="652564C3"/>
    <w:rsid w:val="652B096E"/>
    <w:rsid w:val="65326763"/>
    <w:rsid w:val="65357589"/>
    <w:rsid w:val="65530E49"/>
    <w:rsid w:val="65551112"/>
    <w:rsid w:val="657732B5"/>
    <w:rsid w:val="65834C72"/>
    <w:rsid w:val="658573D0"/>
    <w:rsid w:val="658B678B"/>
    <w:rsid w:val="659C4A0A"/>
    <w:rsid w:val="65A71F82"/>
    <w:rsid w:val="65B72335"/>
    <w:rsid w:val="65C649BC"/>
    <w:rsid w:val="65E55EB8"/>
    <w:rsid w:val="65E73B66"/>
    <w:rsid w:val="66022F90"/>
    <w:rsid w:val="66044FCB"/>
    <w:rsid w:val="660514B3"/>
    <w:rsid w:val="66131984"/>
    <w:rsid w:val="66187135"/>
    <w:rsid w:val="661B7E76"/>
    <w:rsid w:val="662429BB"/>
    <w:rsid w:val="662831A9"/>
    <w:rsid w:val="662C4F94"/>
    <w:rsid w:val="66313D38"/>
    <w:rsid w:val="663A7E7B"/>
    <w:rsid w:val="66452ADE"/>
    <w:rsid w:val="664A22D3"/>
    <w:rsid w:val="66646842"/>
    <w:rsid w:val="666C6F00"/>
    <w:rsid w:val="666C7096"/>
    <w:rsid w:val="666D2B74"/>
    <w:rsid w:val="66773AC9"/>
    <w:rsid w:val="66787D6F"/>
    <w:rsid w:val="668817F3"/>
    <w:rsid w:val="66897717"/>
    <w:rsid w:val="66A364FB"/>
    <w:rsid w:val="66AA495F"/>
    <w:rsid w:val="66B02E9B"/>
    <w:rsid w:val="66C17236"/>
    <w:rsid w:val="66C2270A"/>
    <w:rsid w:val="66D200BF"/>
    <w:rsid w:val="66D7305F"/>
    <w:rsid w:val="66E03EF6"/>
    <w:rsid w:val="66E16576"/>
    <w:rsid w:val="66E33C2D"/>
    <w:rsid w:val="66FE6FC6"/>
    <w:rsid w:val="66FF12A8"/>
    <w:rsid w:val="66FF1E88"/>
    <w:rsid w:val="66FF6B44"/>
    <w:rsid w:val="67090219"/>
    <w:rsid w:val="670E61EE"/>
    <w:rsid w:val="67192BF6"/>
    <w:rsid w:val="671A4A9C"/>
    <w:rsid w:val="671B4A83"/>
    <w:rsid w:val="67365593"/>
    <w:rsid w:val="67427945"/>
    <w:rsid w:val="67570318"/>
    <w:rsid w:val="675E2E45"/>
    <w:rsid w:val="676811E7"/>
    <w:rsid w:val="678164D2"/>
    <w:rsid w:val="67880ECE"/>
    <w:rsid w:val="67903975"/>
    <w:rsid w:val="679F6750"/>
    <w:rsid w:val="67A02107"/>
    <w:rsid w:val="67A90AAD"/>
    <w:rsid w:val="67AE0A73"/>
    <w:rsid w:val="67AF4AEE"/>
    <w:rsid w:val="67BC006F"/>
    <w:rsid w:val="67BE34F4"/>
    <w:rsid w:val="67C74FB0"/>
    <w:rsid w:val="67C94D4B"/>
    <w:rsid w:val="67CF00A6"/>
    <w:rsid w:val="67D03C6F"/>
    <w:rsid w:val="67D079BF"/>
    <w:rsid w:val="67D7321C"/>
    <w:rsid w:val="67DA02E7"/>
    <w:rsid w:val="67E04310"/>
    <w:rsid w:val="67E25FA2"/>
    <w:rsid w:val="67F21DDC"/>
    <w:rsid w:val="67F96D07"/>
    <w:rsid w:val="67FB2BA9"/>
    <w:rsid w:val="680872C5"/>
    <w:rsid w:val="68121D83"/>
    <w:rsid w:val="68233C28"/>
    <w:rsid w:val="682B16F7"/>
    <w:rsid w:val="682D47C1"/>
    <w:rsid w:val="683339B7"/>
    <w:rsid w:val="683744CE"/>
    <w:rsid w:val="6859131D"/>
    <w:rsid w:val="685B5036"/>
    <w:rsid w:val="68612CB6"/>
    <w:rsid w:val="68667455"/>
    <w:rsid w:val="6867315A"/>
    <w:rsid w:val="68A23115"/>
    <w:rsid w:val="68AF7BA7"/>
    <w:rsid w:val="68CE29AC"/>
    <w:rsid w:val="68E34076"/>
    <w:rsid w:val="68E65681"/>
    <w:rsid w:val="68F145B5"/>
    <w:rsid w:val="68FA5214"/>
    <w:rsid w:val="69042888"/>
    <w:rsid w:val="6906197A"/>
    <w:rsid w:val="690C637F"/>
    <w:rsid w:val="692A17F3"/>
    <w:rsid w:val="692A799A"/>
    <w:rsid w:val="69360DF4"/>
    <w:rsid w:val="693B629B"/>
    <w:rsid w:val="69477B83"/>
    <w:rsid w:val="696F6003"/>
    <w:rsid w:val="698771E6"/>
    <w:rsid w:val="699B1540"/>
    <w:rsid w:val="699D4818"/>
    <w:rsid w:val="69C27972"/>
    <w:rsid w:val="69C43979"/>
    <w:rsid w:val="69C9231B"/>
    <w:rsid w:val="69DC5EE6"/>
    <w:rsid w:val="69DD4B38"/>
    <w:rsid w:val="69DE1829"/>
    <w:rsid w:val="6A054878"/>
    <w:rsid w:val="6A0B7E27"/>
    <w:rsid w:val="6A15604C"/>
    <w:rsid w:val="6A2E4954"/>
    <w:rsid w:val="6A3014CE"/>
    <w:rsid w:val="6A557981"/>
    <w:rsid w:val="6A5859DD"/>
    <w:rsid w:val="6A6A771D"/>
    <w:rsid w:val="6A6E396D"/>
    <w:rsid w:val="6A741F16"/>
    <w:rsid w:val="6A7E2CA7"/>
    <w:rsid w:val="6A9E04C5"/>
    <w:rsid w:val="6AA507AA"/>
    <w:rsid w:val="6AC07030"/>
    <w:rsid w:val="6AC9421D"/>
    <w:rsid w:val="6AD53613"/>
    <w:rsid w:val="6AD94F47"/>
    <w:rsid w:val="6AE641A3"/>
    <w:rsid w:val="6AE91DBD"/>
    <w:rsid w:val="6AEF29C9"/>
    <w:rsid w:val="6B281153"/>
    <w:rsid w:val="6B30618D"/>
    <w:rsid w:val="6B4C3B26"/>
    <w:rsid w:val="6B4F73CF"/>
    <w:rsid w:val="6B6162D1"/>
    <w:rsid w:val="6B7747FD"/>
    <w:rsid w:val="6B8D6111"/>
    <w:rsid w:val="6B9C3AE5"/>
    <w:rsid w:val="6BA924EB"/>
    <w:rsid w:val="6BB3693A"/>
    <w:rsid w:val="6BB3754C"/>
    <w:rsid w:val="6BB42B0A"/>
    <w:rsid w:val="6BBE51DA"/>
    <w:rsid w:val="6BC86908"/>
    <w:rsid w:val="6BCE245B"/>
    <w:rsid w:val="6BD44297"/>
    <w:rsid w:val="6BDB0A87"/>
    <w:rsid w:val="6BE00053"/>
    <w:rsid w:val="6BEB5350"/>
    <w:rsid w:val="6BEC49EE"/>
    <w:rsid w:val="6BEC7C68"/>
    <w:rsid w:val="6BEE39CD"/>
    <w:rsid w:val="6C0C287C"/>
    <w:rsid w:val="6C26686F"/>
    <w:rsid w:val="6C294501"/>
    <w:rsid w:val="6C39658E"/>
    <w:rsid w:val="6C4C2667"/>
    <w:rsid w:val="6CA51813"/>
    <w:rsid w:val="6CAC7432"/>
    <w:rsid w:val="6CB17A00"/>
    <w:rsid w:val="6CB57A17"/>
    <w:rsid w:val="6CB81F2C"/>
    <w:rsid w:val="6CB87B40"/>
    <w:rsid w:val="6CC81224"/>
    <w:rsid w:val="6CC85207"/>
    <w:rsid w:val="6CCA6D7E"/>
    <w:rsid w:val="6CD241E1"/>
    <w:rsid w:val="6CD270C5"/>
    <w:rsid w:val="6CD40BE1"/>
    <w:rsid w:val="6CD46A9B"/>
    <w:rsid w:val="6CDA49A3"/>
    <w:rsid w:val="6CDA4DED"/>
    <w:rsid w:val="6CEC01FF"/>
    <w:rsid w:val="6CED7FA5"/>
    <w:rsid w:val="6CF00038"/>
    <w:rsid w:val="6CF3185F"/>
    <w:rsid w:val="6CF36133"/>
    <w:rsid w:val="6D003617"/>
    <w:rsid w:val="6D27071C"/>
    <w:rsid w:val="6D2C0194"/>
    <w:rsid w:val="6D305B8F"/>
    <w:rsid w:val="6D314932"/>
    <w:rsid w:val="6D38774B"/>
    <w:rsid w:val="6D3E46D7"/>
    <w:rsid w:val="6D406D15"/>
    <w:rsid w:val="6D565493"/>
    <w:rsid w:val="6D697EC5"/>
    <w:rsid w:val="6D6C5B21"/>
    <w:rsid w:val="6D704B0C"/>
    <w:rsid w:val="6D740FCF"/>
    <w:rsid w:val="6D776EFB"/>
    <w:rsid w:val="6D797F60"/>
    <w:rsid w:val="6D8E4430"/>
    <w:rsid w:val="6D9325CD"/>
    <w:rsid w:val="6D940929"/>
    <w:rsid w:val="6D960AA9"/>
    <w:rsid w:val="6DA25D26"/>
    <w:rsid w:val="6DAC34A1"/>
    <w:rsid w:val="6DB46109"/>
    <w:rsid w:val="6DD1076A"/>
    <w:rsid w:val="6DD923A5"/>
    <w:rsid w:val="6DDE3DAF"/>
    <w:rsid w:val="6DE15A1E"/>
    <w:rsid w:val="6DE96D8A"/>
    <w:rsid w:val="6DF24EC9"/>
    <w:rsid w:val="6DF30B8E"/>
    <w:rsid w:val="6E0C6C88"/>
    <w:rsid w:val="6E1735DC"/>
    <w:rsid w:val="6E17545E"/>
    <w:rsid w:val="6E1F4ECD"/>
    <w:rsid w:val="6E2211D6"/>
    <w:rsid w:val="6E311184"/>
    <w:rsid w:val="6E31278B"/>
    <w:rsid w:val="6E3B2AD1"/>
    <w:rsid w:val="6E406F3A"/>
    <w:rsid w:val="6E4207E1"/>
    <w:rsid w:val="6E470C30"/>
    <w:rsid w:val="6E4A54B0"/>
    <w:rsid w:val="6E5919EF"/>
    <w:rsid w:val="6E692439"/>
    <w:rsid w:val="6E6F5C52"/>
    <w:rsid w:val="6E7F76C0"/>
    <w:rsid w:val="6E874588"/>
    <w:rsid w:val="6E8C7A11"/>
    <w:rsid w:val="6E9644A1"/>
    <w:rsid w:val="6EA567C2"/>
    <w:rsid w:val="6EAB663F"/>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6478"/>
    <w:rsid w:val="6EF65383"/>
    <w:rsid w:val="6EF74B3E"/>
    <w:rsid w:val="6EFA61EE"/>
    <w:rsid w:val="6EFC0773"/>
    <w:rsid w:val="6F005353"/>
    <w:rsid w:val="6F02009A"/>
    <w:rsid w:val="6F04369B"/>
    <w:rsid w:val="6F0818E0"/>
    <w:rsid w:val="6F103FEE"/>
    <w:rsid w:val="6F14633B"/>
    <w:rsid w:val="6F2D66D6"/>
    <w:rsid w:val="6F2F326F"/>
    <w:rsid w:val="6F4337FE"/>
    <w:rsid w:val="6F606ADB"/>
    <w:rsid w:val="6F607D06"/>
    <w:rsid w:val="6F61544C"/>
    <w:rsid w:val="6F757C9C"/>
    <w:rsid w:val="6F7A0A72"/>
    <w:rsid w:val="6F7C77FB"/>
    <w:rsid w:val="6F8323D0"/>
    <w:rsid w:val="6F981439"/>
    <w:rsid w:val="6FB23A01"/>
    <w:rsid w:val="6FBA4BA1"/>
    <w:rsid w:val="6FBC778D"/>
    <w:rsid w:val="6FCC077A"/>
    <w:rsid w:val="6FD1270F"/>
    <w:rsid w:val="6FDC4815"/>
    <w:rsid w:val="6FEA3E2C"/>
    <w:rsid w:val="6FEB04D5"/>
    <w:rsid w:val="701241A0"/>
    <w:rsid w:val="70142157"/>
    <w:rsid w:val="701E3717"/>
    <w:rsid w:val="702603AF"/>
    <w:rsid w:val="704065EF"/>
    <w:rsid w:val="704D44C5"/>
    <w:rsid w:val="70531F9D"/>
    <w:rsid w:val="705E3F40"/>
    <w:rsid w:val="70607430"/>
    <w:rsid w:val="70663A7A"/>
    <w:rsid w:val="70726E65"/>
    <w:rsid w:val="708D6E69"/>
    <w:rsid w:val="709D4CBE"/>
    <w:rsid w:val="70DB4B36"/>
    <w:rsid w:val="70E040A3"/>
    <w:rsid w:val="70E13200"/>
    <w:rsid w:val="70E62FE2"/>
    <w:rsid w:val="70E91C33"/>
    <w:rsid w:val="70EE53BA"/>
    <w:rsid w:val="70FF3D31"/>
    <w:rsid w:val="710B7588"/>
    <w:rsid w:val="71124891"/>
    <w:rsid w:val="71172F17"/>
    <w:rsid w:val="7139612D"/>
    <w:rsid w:val="713E1029"/>
    <w:rsid w:val="714420CD"/>
    <w:rsid w:val="71466AC5"/>
    <w:rsid w:val="71546923"/>
    <w:rsid w:val="715F4C2D"/>
    <w:rsid w:val="716071DD"/>
    <w:rsid w:val="716E56FB"/>
    <w:rsid w:val="71704B83"/>
    <w:rsid w:val="71730FAE"/>
    <w:rsid w:val="71742846"/>
    <w:rsid w:val="71841719"/>
    <w:rsid w:val="719D0D51"/>
    <w:rsid w:val="71B15C2B"/>
    <w:rsid w:val="71C775AC"/>
    <w:rsid w:val="71E27EA1"/>
    <w:rsid w:val="71E84CBD"/>
    <w:rsid w:val="72024D75"/>
    <w:rsid w:val="72026398"/>
    <w:rsid w:val="722B4090"/>
    <w:rsid w:val="723F5976"/>
    <w:rsid w:val="724530CF"/>
    <w:rsid w:val="72607C33"/>
    <w:rsid w:val="7267558B"/>
    <w:rsid w:val="7267722E"/>
    <w:rsid w:val="726D03AB"/>
    <w:rsid w:val="7275552C"/>
    <w:rsid w:val="72766BB2"/>
    <w:rsid w:val="72944739"/>
    <w:rsid w:val="72A61C32"/>
    <w:rsid w:val="72A97A08"/>
    <w:rsid w:val="72CB7F46"/>
    <w:rsid w:val="72D21E71"/>
    <w:rsid w:val="72D84E60"/>
    <w:rsid w:val="72E21F9E"/>
    <w:rsid w:val="72F100A8"/>
    <w:rsid w:val="72FA6C6A"/>
    <w:rsid w:val="72FB43B2"/>
    <w:rsid w:val="72FE3EF7"/>
    <w:rsid w:val="7303081C"/>
    <w:rsid w:val="73121CB7"/>
    <w:rsid w:val="73127898"/>
    <w:rsid w:val="73134E8E"/>
    <w:rsid w:val="731F2161"/>
    <w:rsid w:val="732716BC"/>
    <w:rsid w:val="7333450C"/>
    <w:rsid w:val="7348088D"/>
    <w:rsid w:val="735344A6"/>
    <w:rsid w:val="735463E0"/>
    <w:rsid w:val="736816C1"/>
    <w:rsid w:val="737B0183"/>
    <w:rsid w:val="7381208C"/>
    <w:rsid w:val="73841927"/>
    <w:rsid w:val="738A7955"/>
    <w:rsid w:val="73A36DC3"/>
    <w:rsid w:val="73B33483"/>
    <w:rsid w:val="73DE4D67"/>
    <w:rsid w:val="73F71AA0"/>
    <w:rsid w:val="73FC3414"/>
    <w:rsid w:val="73FC6BEB"/>
    <w:rsid w:val="74016246"/>
    <w:rsid w:val="740227D1"/>
    <w:rsid w:val="741255AF"/>
    <w:rsid w:val="745A4881"/>
    <w:rsid w:val="745C121D"/>
    <w:rsid w:val="745D741C"/>
    <w:rsid w:val="745E4D08"/>
    <w:rsid w:val="7466647B"/>
    <w:rsid w:val="746D0FDE"/>
    <w:rsid w:val="746F3109"/>
    <w:rsid w:val="74881C43"/>
    <w:rsid w:val="74970657"/>
    <w:rsid w:val="749A55E5"/>
    <w:rsid w:val="74B3391B"/>
    <w:rsid w:val="74C42FC6"/>
    <w:rsid w:val="74CF4EC9"/>
    <w:rsid w:val="74D23D81"/>
    <w:rsid w:val="74D552C0"/>
    <w:rsid w:val="74DB0C49"/>
    <w:rsid w:val="74E40DB3"/>
    <w:rsid w:val="74F1132B"/>
    <w:rsid w:val="7514569D"/>
    <w:rsid w:val="751B5F96"/>
    <w:rsid w:val="75281208"/>
    <w:rsid w:val="75310AD0"/>
    <w:rsid w:val="7531671C"/>
    <w:rsid w:val="755A08D5"/>
    <w:rsid w:val="755C4C37"/>
    <w:rsid w:val="75622CB1"/>
    <w:rsid w:val="75657CAB"/>
    <w:rsid w:val="75772547"/>
    <w:rsid w:val="75997C5C"/>
    <w:rsid w:val="75AE0EB2"/>
    <w:rsid w:val="75B33C4A"/>
    <w:rsid w:val="75B84A01"/>
    <w:rsid w:val="75C863E2"/>
    <w:rsid w:val="75DA5365"/>
    <w:rsid w:val="75DE03EB"/>
    <w:rsid w:val="75EA7032"/>
    <w:rsid w:val="75EC44C9"/>
    <w:rsid w:val="75F71CA5"/>
    <w:rsid w:val="760C1517"/>
    <w:rsid w:val="7611078B"/>
    <w:rsid w:val="761A2E8D"/>
    <w:rsid w:val="7628164D"/>
    <w:rsid w:val="763341D0"/>
    <w:rsid w:val="76350AE1"/>
    <w:rsid w:val="76375AC5"/>
    <w:rsid w:val="763E6A68"/>
    <w:rsid w:val="76475DB4"/>
    <w:rsid w:val="765062E5"/>
    <w:rsid w:val="7652643E"/>
    <w:rsid w:val="76725203"/>
    <w:rsid w:val="767263E3"/>
    <w:rsid w:val="767955BC"/>
    <w:rsid w:val="767F6735"/>
    <w:rsid w:val="76871CA5"/>
    <w:rsid w:val="7689098F"/>
    <w:rsid w:val="768D7CD7"/>
    <w:rsid w:val="76A17FB6"/>
    <w:rsid w:val="76C2056E"/>
    <w:rsid w:val="76CE079E"/>
    <w:rsid w:val="76D25C7C"/>
    <w:rsid w:val="770D2AFC"/>
    <w:rsid w:val="771B710A"/>
    <w:rsid w:val="77245AA8"/>
    <w:rsid w:val="772870FB"/>
    <w:rsid w:val="772B2BE5"/>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E40842"/>
    <w:rsid w:val="77FD2C5E"/>
    <w:rsid w:val="780D0085"/>
    <w:rsid w:val="78270EE0"/>
    <w:rsid w:val="78271104"/>
    <w:rsid w:val="7828402F"/>
    <w:rsid w:val="782F5476"/>
    <w:rsid w:val="783000F4"/>
    <w:rsid w:val="78373505"/>
    <w:rsid w:val="78464A37"/>
    <w:rsid w:val="784A60C8"/>
    <w:rsid w:val="784B7472"/>
    <w:rsid w:val="78563879"/>
    <w:rsid w:val="785E7134"/>
    <w:rsid w:val="78661ED8"/>
    <w:rsid w:val="78815E79"/>
    <w:rsid w:val="78861A8D"/>
    <w:rsid w:val="788F779E"/>
    <w:rsid w:val="78973BA6"/>
    <w:rsid w:val="78A376CA"/>
    <w:rsid w:val="78AB08D6"/>
    <w:rsid w:val="78AF78E1"/>
    <w:rsid w:val="78CE534E"/>
    <w:rsid w:val="78D424A1"/>
    <w:rsid w:val="78ED42D2"/>
    <w:rsid w:val="78F76941"/>
    <w:rsid w:val="78F82ED4"/>
    <w:rsid w:val="790114CB"/>
    <w:rsid w:val="7904715A"/>
    <w:rsid w:val="7925703F"/>
    <w:rsid w:val="7931755D"/>
    <w:rsid w:val="7932189D"/>
    <w:rsid w:val="793424DB"/>
    <w:rsid w:val="794563F3"/>
    <w:rsid w:val="7962750F"/>
    <w:rsid w:val="79671C35"/>
    <w:rsid w:val="796B0021"/>
    <w:rsid w:val="796F42FD"/>
    <w:rsid w:val="79701A60"/>
    <w:rsid w:val="797218E2"/>
    <w:rsid w:val="797F6705"/>
    <w:rsid w:val="79807FC2"/>
    <w:rsid w:val="799D6ABE"/>
    <w:rsid w:val="79A3401F"/>
    <w:rsid w:val="79A70B11"/>
    <w:rsid w:val="79B20ABE"/>
    <w:rsid w:val="79B43C51"/>
    <w:rsid w:val="79B6170C"/>
    <w:rsid w:val="79BB3341"/>
    <w:rsid w:val="79C22F64"/>
    <w:rsid w:val="79D03D26"/>
    <w:rsid w:val="79D550A6"/>
    <w:rsid w:val="79E8298B"/>
    <w:rsid w:val="7A27719F"/>
    <w:rsid w:val="7A3466E6"/>
    <w:rsid w:val="7A361B91"/>
    <w:rsid w:val="7A410FED"/>
    <w:rsid w:val="7A4205D3"/>
    <w:rsid w:val="7A4F3DD9"/>
    <w:rsid w:val="7A577D70"/>
    <w:rsid w:val="7A5872B9"/>
    <w:rsid w:val="7A5C3640"/>
    <w:rsid w:val="7A6513E3"/>
    <w:rsid w:val="7A6F0E79"/>
    <w:rsid w:val="7A73566B"/>
    <w:rsid w:val="7A761A22"/>
    <w:rsid w:val="7A7D4F17"/>
    <w:rsid w:val="7A801366"/>
    <w:rsid w:val="7A8A78CF"/>
    <w:rsid w:val="7A977FDA"/>
    <w:rsid w:val="7A9C218A"/>
    <w:rsid w:val="7A9C3F7D"/>
    <w:rsid w:val="7AA87A9F"/>
    <w:rsid w:val="7AB05BBC"/>
    <w:rsid w:val="7AB27F2F"/>
    <w:rsid w:val="7AB44E97"/>
    <w:rsid w:val="7AB740EE"/>
    <w:rsid w:val="7AB94AC3"/>
    <w:rsid w:val="7ABB47EB"/>
    <w:rsid w:val="7AD3168F"/>
    <w:rsid w:val="7AD33C0D"/>
    <w:rsid w:val="7AD61874"/>
    <w:rsid w:val="7AE36910"/>
    <w:rsid w:val="7AEF7A90"/>
    <w:rsid w:val="7AF53C0B"/>
    <w:rsid w:val="7B07064A"/>
    <w:rsid w:val="7B0E6D55"/>
    <w:rsid w:val="7B144D45"/>
    <w:rsid w:val="7B265930"/>
    <w:rsid w:val="7B290480"/>
    <w:rsid w:val="7B3E60A8"/>
    <w:rsid w:val="7B60366D"/>
    <w:rsid w:val="7B74384D"/>
    <w:rsid w:val="7B826E52"/>
    <w:rsid w:val="7B8A5D04"/>
    <w:rsid w:val="7B8C21DA"/>
    <w:rsid w:val="7B940404"/>
    <w:rsid w:val="7B9C030C"/>
    <w:rsid w:val="7BB6238F"/>
    <w:rsid w:val="7BCA1026"/>
    <w:rsid w:val="7BD173B3"/>
    <w:rsid w:val="7BDD14C7"/>
    <w:rsid w:val="7BDD38EC"/>
    <w:rsid w:val="7BEF7C09"/>
    <w:rsid w:val="7BF07147"/>
    <w:rsid w:val="7BF8597E"/>
    <w:rsid w:val="7C032820"/>
    <w:rsid w:val="7C12395E"/>
    <w:rsid w:val="7C14711B"/>
    <w:rsid w:val="7C1932F5"/>
    <w:rsid w:val="7C303ADD"/>
    <w:rsid w:val="7C312516"/>
    <w:rsid w:val="7C45431D"/>
    <w:rsid w:val="7C4A144B"/>
    <w:rsid w:val="7C51263D"/>
    <w:rsid w:val="7C5B6D47"/>
    <w:rsid w:val="7C5E2D26"/>
    <w:rsid w:val="7C6B6B6B"/>
    <w:rsid w:val="7C6E0AD7"/>
    <w:rsid w:val="7C830B99"/>
    <w:rsid w:val="7C963B24"/>
    <w:rsid w:val="7C9D0D18"/>
    <w:rsid w:val="7CAB6E55"/>
    <w:rsid w:val="7CAC45CF"/>
    <w:rsid w:val="7CAD1FA2"/>
    <w:rsid w:val="7CAD78FD"/>
    <w:rsid w:val="7CB46225"/>
    <w:rsid w:val="7CB64CC2"/>
    <w:rsid w:val="7CC906C4"/>
    <w:rsid w:val="7CD05338"/>
    <w:rsid w:val="7CD44FEF"/>
    <w:rsid w:val="7CEF280C"/>
    <w:rsid w:val="7CF05155"/>
    <w:rsid w:val="7CF451D1"/>
    <w:rsid w:val="7CF95837"/>
    <w:rsid w:val="7CFF7E47"/>
    <w:rsid w:val="7D1C7EA0"/>
    <w:rsid w:val="7D21185C"/>
    <w:rsid w:val="7D2A35D5"/>
    <w:rsid w:val="7D2D06F9"/>
    <w:rsid w:val="7D345976"/>
    <w:rsid w:val="7D4C1C46"/>
    <w:rsid w:val="7D547DF1"/>
    <w:rsid w:val="7D5B3E9F"/>
    <w:rsid w:val="7D5B5B2B"/>
    <w:rsid w:val="7D622FC2"/>
    <w:rsid w:val="7D647F1D"/>
    <w:rsid w:val="7D724D08"/>
    <w:rsid w:val="7D736CF0"/>
    <w:rsid w:val="7D81439A"/>
    <w:rsid w:val="7D8F4F8D"/>
    <w:rsid w:val="7DA15D86"/>
    <w:rsid w:val="7DA47874"/>
    <w:rsid w:val="7DAC213C"/>
    <w:rsid w:val="7DAC49C4"/>
    <w:rsid w:val="7DB116EE"/>
    <w:rsid w:val="7DB168E1"/>
    <w:rsid w:val="7DB44FBE"/>
    <w:rsid w:val="7DB704CD"/>
    <w:rsid w:val="7DC26A8B"/>
    <w:rsid w:val="7DC64605"/>
    <w:rsid w:val="7DCF7966"/>
    <w:rsid w:val="7DDD0501"/>
    <w:rsid w:val="7DFB4E65"/>
    <w:rsid w:val="7DFF027B"/>
    <w:rsid w:val="7E144249"/>
    <w:rsid w:val="7E2653BA"/>
    <w:rsid w:val="7E2B63E7"/>
    <w:rsid w:val="7E3062D1"/>
    <w:rsid w:val="7E370ADD"/>
    <w:rsid w:val="7E4048EE"/>
    <w:rsid w:val="7E494B39"/>
    <w:rsid w:val="7E4B5DD4"/>
    <w:rsid w:val="7E5348C9"/>
    <w:rsid w:val="7E575DF3"/>
    <w:rsid w:val="7E82783A"/>
    <w:rsid w:val="7E8A1E6A"/>
    <w:rsid w:val="7E8B79FF"/>
    <w:rsid w:val="7E905860"/>
    <w:rsid w:val="7E9334E2"/>
    <w:rsid w:val="7E935AFB"/>
    <w:rsid w:val="7E952BC4"/>
    <w:rsid w:val="7E9B5A36"/>
    <w:rsid w:val="7E9C3271"/>
    <w:rsid w:val="7EA32E1E"/>
    <w:rsid w:val="7EBE75B9"/>
    <w:rsid w:val="7EC05D56"/>
    <w:rsid w:val="7EC45691"/>
    <w:rsid w:val="7EC65AAB"/>
    <w:rsid w:val="7EDE3D14"/>
    <w:rsid w:val="7EE64951"/>
    <w:rsid w:val="7EE668F7"/>
    <w:rsid w:val="7EEE3EAD"/>
    <w:rsid w:val="7EF5668F"/>
    <w:rsid w:val="7EF834F3"/>
    <w:rsid w:val="7EFD5B95"/>
    <w:rsid w:val="7F0D6B5A"/>
    <w:rsid w:val="7F185CB9"/>
    <w:rsid w:val="7F1D55DA"/>
    <w:rsid w:val="7F254E3D"/>
    <w:rsid w:val="7F297646"/>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8290B"/>
    <w:rsid w:val="7F7A7D69"/>
    <w:rsid w:val="7F8029F6"/>
    <w:rsid w:val="7F822892"/>
    <w:rsid w:val="7F875650"/>
    <w:rsid w:val="7F8A68D8"/>
    <w:rsid w:val="7FA22782"/>
    <w:rsid w:val="7FA522BC"/>
    <w:rsid w:val="7FAA17A5"/>
    <w:rsid w:val="7FAA5203"/>
    <w:rsid w:val="7FAA68F3"/>
    <w:rsid w:val="7FBA19A1"/>
    <w:rsid w:val="7FC90A85"/>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55"/>
    <w:semiHidden/>
    <w:unhideWhenUsed/>
    <w:qFormat/>
    <w:uiPriority w:val="99"/>
    <w:pPr>
      <w:spacing w:line="240" w:lineRule="auto"/>
    </w:pPr>
    <w:rPr>
      <w:szCs w:val="20"/>
    </w:rPr>
  </w:style>
  <w:style w:type="paragraph" w:styleId="9">
    <w:name w:val="Body Text"/>
    <w:basedOn w:val="1"/>
    <w:link w:val="27"/>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8"/>
    <w:next w:val="8"/>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2"/>
    <w:qFormat/>
    <w:uiPriority w:val="0"/>
    <w:rPr>
      <w:rFonts w:ascii="Helvetica" w:hAnsi="Helvetica" w:eastAsia="MS Mincho" w:cs="Times New Roman"/>
      <w:b/>
      <w:bCs/>
      <w:kern w:val="32"/>
      <w:sz w:val="28"/>
      <w:szCs w:val="32"/>
      <w:lang w:val="zh-CN" w:eastAsia="en-US"/>
    </w:rPr>
  </w:style>
  <w:style w:type="character" w:customStyle="1" w:styleId="26">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9"/>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8"/>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0</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2025-10-03T06:59:50Z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